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BB4F0" w14:textId="7F36ED19" w:rsidR="00B02DC2" w:rsidRPr="007728E8" w:rsidRDefault="00B02DC2" w:rsidP="00B02DC2">
      <w:pPr>
        <w:pStyle w:val="CRCoverPage"/>
        <w:tabs>
          <w:tab w:val="right" w:pos="9639"/>
        </w:tabs>
        <w:spacing w:after="0"/>
        <w:rPr>
          <w:b/>
          <w:i/>
          <w:noProof/>
          <w:sz w:val="28"/>
        </w:rPr>
      </w:pPr>
      <w:r>
        <w:rPr>
          <w:b/>
          <w:bCs/>
          <w:sz w:val="24"/>
          <w:szCs w:val="24"/>
          <w:lang w:eastAsia="ja-JP"/>
        </w:rPr>
        <w:t>3GPP TSG-RAN WG2 Meeting #1</w:t>
      </w:r>
      <w:r w:rsidR="00DB6E72">
        <w:rPr>
          <w:b/>
          <w:bCs/>
          <w:sz w:val="24"/>
          <w:szCs w:val="24"/>
          <w:lang w:eastAsia="ja-JP"/>
        </w:rPr>
        <w:t>2</w:t>
      </w:r>
      <w:r w:rsidR="00207FDC">
        <w:rPr>
          <w:b/>
          <w:bCs/>
          <w:sz w:val="24"/>
          <w:szCs w:val="24"/>
          <w:lang w:eastAsia="ja-JP"/>
        </w:rPr>
        <w:t>1</w:t>
      </w:r>
      <w:r>
        <w:rPr>
          <w:b/>
          <w:i/>
          <w:noProof/>
          <w:sz w:val="28"/>
        </w:rPr>
        <w:tab/>
        <w:t xml:space="preserve"> </w:t>
      </w:r>
      <w:r w:rsidR="00225853" w:rsidRPr="00225853">
        <w:rPr>
          <w:b/>
          <w:noProof/>
          <w:sz w:val="28"/>
        </w:rPr>
        <w:t>R2-2300265</w:t>
      </w:r>
    </w:p>
    <w:p w14:paraId="7AE71E15" w14:textId="77777777" w:rsidR="00207FDC" w:rsidRDefault="00207FDC" w:rsidP="00207FDC">
      <w:pPr>
        <w:pStyle w:val="CRCoverPage"/>
        <w:rPr>
          <w:b/>
          <w:noProof/>
          <w:sz w:val="24"/>
        </w:rPr>
      </w:pPr>
      <w:r>
        <w:rPr>
          <w:b/>
          <w:noProof/>
          <w:sz w:val="24"/>
          <w:lang w:val="en-US"/>
        </w:rPr>
        <w:t>Athens G</w:t>
      </w:r>
      <w:r>
        <w:rPr>
          <w:b/>
          <w:noProof/>
          <w:sz w:val="24"/>
          <w:lang w:eastAsia="zh-CN"/>
        </w:rPr>
        <w:t>R</w:t>
      </w:r>
      <w:r>
        <w:rPr>
          <w:b/>
          <w:noProof/>
          <w:sz w:val="24"/>
        </w:rPr>
        <w:t>,</w:t>
      </w:r>
      <w:r w:rsidRPr="002F75AC">
        <w:rPr>
          <w:rFonts w:eastAsia="宋体" w:cs="Arial"/>
          <w:b/>
          <w:bCs/>
          <w:sz w:val="24"/>
          <w:szCs w:val="24"/>
          <w:lang w:val="en-US" w:eastAsia="zh-CN"/>
        </w:rPr>
        <w:t xml:space="preserve"> </w:t>
      </w:r>
      <w:r>
        <w:rPr>
          <w:rFonts w:eastAsia="宋体" w:cs="Arial"/>
          <w:b/>
          <w:bCs/>
          <w:sz w:val="24"/>
          <w:szCs w:val="24"/>
          <w:lang w:val="en-US" w:eastAsia="zh-CN"/>
        </w:rPr>
        <w:t>Feb 27- March 3</w:t>
      </w:r>
      <w:r>
        <w:rPr>
          <w:rFonts w:cs="Arial"/>
          <w:b/>
          <w:bCs/>
          <w:sz w:val="24"/>
          <w:szCs w:val="24"/>
          <w:lang w:val="en-US" w:eastAsia="zh-CN"/>
        </w:rPr>
        <w:t>, 2023</w:t>
      </w:r>
    </w:p>
    <w:p w14:paraId="51FC7E83" w14:textId="25896276" w:rsidR="00B02DC2" w:rsidRPr="00DB6E72" w:rsidRDefault="00B02DC2" w:rsidP="00B02DC2">
      <w:pPr>
        <w:pStyle w:val="CRCoverPage"/>
        <w:ind w:left="1988" w:hanging="1988"/>
        <w:rPr>
          <w:rFonts w:eastAsia="宋体"/>
          <w:b/>
          <w:noProof/>
          <w:sz w:val="24"/>
          <w:lang w:val="en-US" w:eastAsia="zh-CN"/>
        </w:rPr>
      </w:pPr>
      <w:r>
        <w:rPr>
          <w:b/>
          <w:noProof/>
          <w:sz w:val="24"/>
        </w:rPr>
        <w:t>Agenda Item:</w:t>
      </w:r>
      <w:r>
        <w:rPr>
          <w:b/>
          <w:noProof/>
          <w:sz w:val="24"/>
        </w:rPr>
        <w:tab/>
        <w:t>8.</w:t>
      </w:r>
      <w:r w:rsidR="001574B5">
        <w:rPr>
          <w:b/>
          <w:noProof/>
          <w:sz w:val="24"/>
        </w:rPr>
        <w:t>6</w:t>
      </w:r>
      <w:r>
        <w:rPr>
          <w:b/>
          <w:noProof/>
          <w:sz w:val="24"/>
        </w:rPr>
        <w:t>.</w:t>
      </w:r>
      <w:r w:rsidR="00DB6E72">
        <w:rPr>
          <w:b/>
          <w:noProof/>
          <w:sz w:val="24"/>
        </w:rPr>
        <w:t>3</w:t>
      </w:r>
      <w:r w:rsidR="00A86CBE">
        <w:rPr>
          <w:b/>
          <w:noProof/>
          <w:sz w:val="24"/>
        </w:rPr>
        <w:t>.2</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6D098731"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1574B5">
        <w:rPr>
          <w:b/>
          <w:noProof/>
          <w:sz w:val="24"/>
        </w:rPr>
        <w:t>On Mobility Enhancements in IoT-NTN</w:t>
      </w:r>
    </w:p>
    <w:bookmarkEnd w:id="0"/>
    <w:bookmarkEnd w:id="1"/>
    <w:p w14:paraId="1EB2D31E" w14:textId="6AD24BEA"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Pr="002C6D48">
        <w:rPr>
          <w:b/>
          <w:noProof/>
          <w:sz w:val="24"/>
        </w:rPr>
        <w:tab/>
      </w:r>
      <w:r w:rsidR="008659D0">
        <w:rPr>
          <w:b/>
          <w:noProof/>
          <w:sz w:val="24"/>
        </w:rPr>
        <w:t xml:space="preserve">Discussion and </w:t>
      </w:r>
      <w:r w:rsidR="00904BF4" w:rsidRPr="00904BF4">
        <w:rPr>
          <w:b/>
          <w:noProof/>
          <w:sz w:val="24"/>
        </w:rPr>
        <w:t>Agreement</w:t>
      </w:r>
    </w:p>
    <w:p w14:paraId="3EBF3ADE" w14:textId="77777777" w:rsidR="00CA2EA4" w:rsidRPr="008321E7" w:rsidRDefault="003C1CA3" w:rsidP="002000A7">
      <w:pPr>
        <w:pStyle w:val="1"/>
        <w:rPr>
          <w:b/>
          <w:lang w:val="en-US" w:eastAsia="ko-KR"/>
        </w:rPr>
      </w:pPr>
      <w:r w:rsidRPr="008321E7">
        <w:rPr>
          <w:b/>
          <w:lang w:val="en-US" w:eastAsia="ko-KR"/>
        </w:rPr>
        <w:t xml:space="preserve">1 </w:t>
      </w:r>
      <w:r w:rsidR="00156A1A" w:rsidRPr="008321E7">
        <w:rPr>
          <w:b/>
          <w:lang w:val="en-US" w:eastAsia="ko-KR"/>
        </w:rPr>
        <w:t>Introduction</w:t>
      </w:r>
    </w:p>
    <w:p w14:paraId="103720D6" w14:textId="40DC2B02" w:rsidR="00D464EC" w:rsidRDefault="001574B5" w:rsidP="001574B5">
      <w:pPr>
        <w:tabs>
          <w:tab w:val="left" w:pos="1622"/>
        </w:tabs>
        <w:spacing w:after="0"/>
        <w:jc w:val="both"/>
        <w:rPr>
          <w:rFonts w:ascii="Arial" w:hAnsi="Arial" w:cs="Arial"/>
          <w:lang w:eastAsia="en-GB"/>
        </w:rPr>
      </w:pPr>
      <w:r w:rsidRPr="00B02DC2">
        <w:rPr>
          <w:rFonts w:ascii="Arial" w:hAnsi="Arial" w:cs="Arial"/>
          <w:lang w:eastAsia="en-GB"/>
        </w:rPr>
        <w:t xml:space="preserve">Rel-18 enhancements for </w:t>
      </w:r>
      <w:r>
        <w:rPr>
          <w:rFonts w:ascii="Arial" w:hAnsi="Arial" w:cs="Arial"/>
          <w:lang w:eastAsia="en-GB"/>
        </w:rPr>
        <w:t>IoT</w:t>
      </w:r>
      <w:r w:rsidRPr="00B02DC2">
        <w:rPr>
          <w:rFonts w:ascii="Arial" w:hAnsi="Arial" w:cs="Arial"/>
          <w:lang w:eastAsia="en-GB"/>
        </w:rPr>
        <w:t xml:space="preserve">-NTN </w:t>
      </w:r>
      <w:r>
        <w:rPr>
          <w:rFonts w:ascii="Arial" w:hAnsi="Arial" w:cs="Arial"/>
          <w:lang w:eastAsia="en-GB"/>
        </w:rPr>
        <w:t xml:space="preserve">Work Item </w:t>
      </w:r>
      <w:r w:rsidRPr="00B02DC2">
        <w:rPr>
          <w:rFonts w:ascii="Arial" w:hAnsi="Arial" w:cs="Arial"/>
          <w:lang w:eastAsia="en-GB"/>
        </w:rPr>
        <w:t>was approved at RAN Plenary #9</w:t>
      </w:r>
      <w:r>
        <w:rPr>
          <w:rFonts w:ascii="Arial" w:hAnsi="Arial" w:cs="Arial"/>
          <w:lang w:eastAsia="en-GB"/>
        </w:rPr>
        <w:t>6</w:t>
      </w:r>
      <w:r w:rsidRPr="00B02DC2">
        <w:rPr>
          <w:rFonts w:ascii="Arial" w:hAnsi="Arial" w:cs="Arial"/>
          <w:lang w:eastAsia="en-GB"/>
        </w:rPr>
        <w:t>e</w:t>
      </w:r>
      <w:r>
        <w:rPr>
          <w:rFonts w:ascii="Arial" w:hAnsi="Arial" w:cs="Arial"/>
          <w:lang w:eastAsia="en-GB"/>
        </w:rPr>
        <w:t xml:space="preserve"> </w:t>
      </w:r>
      <w:r>
        <w:rPr>
          <w:rFonts w:ascii="Arial" w:hAnsi="Arial" w:cs="Arial"/>
          <w:lang w:eastAsia="en-GB"/>
        </w:rPr>
        <w:fldChar w:fldCharType="begin"/>
      </w:r>
      <w:r>
        <w:rPr>
          <w:rFonts w:ascii="Arial" w:hAnsi="Arial" w:cs="Arial"/>
          <w:lang w:eastAsia="en-GB"/>
        </w:rPr>
        <w:instrText xml:space="preserve"> REF _Ref109647240 \r \h </w:instrText>
      </w:r>
      <w:r>
        <w:rPr>
          <w:rFonts w:ascii="Arial" w:hAnsi="Arial" w:cs="Arial"/>
          <w:lang w:eastAsia="en-GB"/>
        </w:rPr>
      </w:r>
      <w:r>
        <w:rPr>
          <w:rFonts w:ascii="Arial" w:hAnsi="Arial" w:cs="Arial"/>
          <w:lang w:eastAsia="en-GB"/>
        </w:rPr>
        <w:fldChar w:fldCharType="separate"/>
      </w:r>
      <w:r>
        <w:rPr>
          <w:rFonts w:ascii="Arial" w:hAnsi="Arial" w:cs="Arial"/>
          <w:lang w:eastAsia="en-GB"/>
        </w:rPr>
        <w:t>[1]</w:t>
      </w:r>
      <w:r>
        <w:rPr>
          <w:rFonts w:ascii="Arial" w:hAnsi="Arial" w:cs="Arial"/>
          <w:lang w:eastAsia="en-GB"/>
        </w:rPr>
        <w:fldChar w:fldCharType="end"/>
      </w:r>
      <w:r w:rsidRPr="00B02DC2">
        <w:rPr>
          <w:rFonts w:ascii="Arial" w:hAnsi="Arial" w:cs="Arial"/>
          <w:lang w:eastAsia="en-GB"/>
        </w:rPr>
        <w:fldChar w:fldCharType="begin"/>
      </w:r>
      <w:r w:rsidRPr="00B02DC2">
        <w:rPr>
          <w:rFonts w:ascii="Arial" w:hAnsi="Arial" w:cs="Arial"/>
          <w:lang w:eastAsia="en-GB"/>
        </w:rPr>
        <w:instrText xml:space="preserve"> REF _Ref109644185 \r \h </w:instrText>
      </w:r>
      <w:r>
        <w:rPr>
          <w:rFonts w:ascii="Arial" w:hAnsi="Arial" w:cs="Arial"/>
          <w:lang w:eastAsia="en-GB"/>
        </w:rPr>
        <w:instrText xml:space="preserve"> \* MERGEFORMAT </w:instrText>
      </w:r>
      <w:r w:rsidRPr="00B02DC2">
        <w:rPr>
          <w:rFonts w:ascii="Arial" w:hAnsi="Arial" w:cs="Arial"/>
          <w:lang w:eastAsia="en-GB"/>
        </w:rPr>
      </w:r>
      <w:r w:rsidRPr="00B02DC2">
        <w:rPr>
          <w:rFonts w:ascii="Arial" w:hAnsi="Arial" w:cs="Arial"/>
          <w:lang w:eastAsia="en-GB"/>
        </w:rPr>
        <w:fldChar w:fldCharType="end"/>
      </w:r>
      <w:r w:rsidRPr="00B02DC2">
        <w:rPr>
          <w:rFonts w:ascii="Arial" w:hAnsi="Arial" w:cs="Arial"/>
          <w:lang w:eastAsia="en-GB"/>
        </w:rPr>
        <w:t xml:space="preserve">. The corresponding work item has identified </w:t>
      </w:r>
      <w:r w:rsidRPr="00450E2E">
        <w:rPr>
          <w:rFonts w:ascii="Arial" w:hAnsi="Arial" w:cs="Arial"/>
          <w:lang w:eastAsia="en-GB"/>
        </w:rPr>
        <w:t xml:space="preserve">IoT-NTN </w:t>
      </w:r>
      <w:r w:rsidR="00D464EC">
        <w:rPr>
          <w:rFonts w:ascii="Arial" w:hAnsi="Arial" w:cs="Arial"/>
          <w:lang w:eastAsia="en-GB"/>
        </w:rPr>
        <w:t>Mobility</w:t>
      </w:r>
      <w:r w:rsidRPr="00450E2E">
        <w:rPr>
          <w:rFonts w:ascii="Arial" w:hAnsi="Arial" w:cs="Arial"/>
          <w:lang w:eastAsia="en-GB"/>
        </w:rPr>
        <w:t xml:space="preserve"> Enhancements </w:t>
      </w:r>
      <w:r>
        <w:rPr>
          <w:rFonts w:ascii="Arial" w:hAnsi="Arial" w:cs="Arial"/>
          <w:lang w:eastAsia="en-GB"/>
        </w:rPr>
        <w:t>as one key agenda. T</w:t>
      </w:r>
      <w:r w:rsidRPr="00B02DC2">
        <w:rPr>
          <w:rFonts w:ascii="Arial" w:hAnsi="Arial" w:cs="Arial"/>
          <w:lang w:eastAsia="en-GB"/>
        </w:rPr>
        <w:t xml:space="preserve">he work item objective (WID) has mentioned </w:t>
      </w:r>
      <w:r w:rsidR="00D464EC">
        <w:rPr>
          <w:rFonts w:ascii="Arial" w:hAnsi="Arial" w:cs="Arial"/>
          <w:lang w:eastAsia="en-GB"/>
        </w:rPr>
        <w:t>the following two enhancements:</w:t>
      </w:r>
    </w:p>
    <w:p w14:paraId="4C5D818F" w14:textId="6761809C" w:rsidR="00D464EC" w:rsidRPr="00D464EC" w:rsidRDefault="00D464EC" w:rsidP="00D464EC">
      <w:pPr>
        <w:pStyle w:val="af3"/>
        <w:numPr>
          <w:ilvl w:val="0"/>
          <w:numId w:val="23"/>
        </w:numPr>
        <w:tabs>
          <w:tab w:val="left" w:pos="1622"/>
        </w:tabs>
        <w:jc w:val="both"/>
        <w:rPr>
          <w:rFonts w:ascii="Arial" w:hAnsi="Arial" w:cs="Arial"/>
          <w:sz w:val="20"/>
          <w:szCs w:val="20"/>
          <w:lang w:eastAsia="en-GB"/>
        </w:rPr>
      </w:pPr>
      <w:r w:rsidRPr="00D464EC">
        <w:rPr>
          <w:rFonts w:ascii="Arial" w:hAnsi="Arial" w:cs="Arial"/>
          <w:sz w:val="20"/>
          <w:szCs w:val="20"/>
          <w:lang w:eastAsia="en-GB"/>
        </w:rPr>
        <w:t>Support of neighbour cell measurements and corresponding measurement triggering before RLF, using Rel</w:t>
      </w:r>
      <w:r>
        <w:rPr>
          <w:rFonts w:ascii="Arial" w:hAnsi="Arial" w:cs="Arial"/>
          <w:sz w:val="20"/>
          <w:szCs w:val="20"/>
          <w:lang w:eastAsia="en-GB"/>
        </w:rPr>
        <w:t>-</w:t>
      </w:r>
      <w:r w:rsidRPr="00D464EC">
        <w:rPr>
          <w:rFonts w:ascii="Arial" w:hAnsi="Arial" w:cs="Arial"/>
          <w:sz w:val="20"/>
          <w:szCs w:val="20"/>
          <w:lang w:eastAsia="en-GB"/>
        </w:rPr>
        <w:t>17 (TN) NB-IoT, eMTC as a baseline.</w:t>
      </w:r>
    </w:p>
    <w:p w14:paraId="596AD214" w14:textId="3C413B82" w:rsidR="00D464EC" w:rsidRPr="00D464EC" w:rsidRDefault="00D464EC" w:rsidP="00D464EC">
      <w:pPr>
        <w:pStyle w:val="af3"/>
        <w:numPr>
          <w:ilvl w:val="0"/>
          <w:numId w:val="23"/>
        </w:numPr>
        <w:tabs>
          <w:tab w:val="left" w:pos="1622"/>
        </w:tabs>
        <w:jc w:val="both"/>
        <w:rPr>
          <w:rFonts w:ascii="Arial" w:hAnsi="Arial" w:cs="Arial"/>
          <w:sz w:val="20"/>
          <w:szCs w:val="20"/>
          <w:lang w:eastAsia="en-GB"/>
        </w:rPr>
      </w:pPr>
      <w:r w:rsidRPr="00D464EC">
        <w:rPr>
          <w:rFonts w:ascii="Arial" w:hAnsi="Arial" w:cs="Arial"/>
          <w:sz w:val="20"/>
          <w:szCs w:val="20"/>
          <w:lang w:eastAsia="en-GB"/>
        </w:rPr>
        <w:t>Re-use the solutions introduced in Rel-17 NR NTN for mobility enhancements for eMTC, with minimum necessary changes to adapt them to eMTC</w:t>
      </w:r>
      <w:r w:rsidR="009B7F61">
        <w:rPr>
          <w:rFonts w:ascii="Arial" w:hAnsi="Arial" w:cs="Arial"/>
          <w:sz w:val="20"/>
          <w:szCs w:val="20"/>
          <w:lang w:eastAsia="en-GB"/>
        </w:rPr>
        <w:t>.</w:t>
      </w:r>
    </w:p>
    <w:p w14:paraId="7EF37C48" w14:textId="77777777" w:rsidR="00D464EC" w:rsidRDefault="00D464EC" w:rsidP="001574B5">
      <w:pPr>
        <w:tabs>
          <w:tab w:val="left" w:pos="1622"/>
        </w:tabs>
        <w:spacing w:after="0"/>
        <w:jc w:val="both"/>
        <w:rPr>
          <w:rFonts w:ascii="Arial" w:hAnsi="Arial" w:cs="Arial"/>
          <w:lang w:eastAsia="en-GB"/>
        </w:rPr>
      </w:pPr>
    </w:p>
    <w:p w14:paraId="1A016BD5" w14:textId="79BC76E7" w:rsidR="00D464EC" w:rsidRPr="001D0C04" w:rsidRDefault="00355D0B" w:rsidP="001574B5">
      <w:pPr>
        <w:tabs>
          <w:tab w:val="left" w:pos="1622"/>
        </w:tabs>
        <w:spacing w:after="0"/>
        <w:jc w:val="both"/>
        <w:rPr>
          <w:rFonts w:ascii="Arial" w:hAnsi="Arial" w:cs="Arial"/>
          <w:lang w:val="en-US" w:eastAsia="en-GB"/>
        </w:rPr>
      </w:pPr>
      <w:r>
        <w:rPr>
          <w:rFonts w:ascii="Arial" w:hAnsi="Arial" w:cs="Arial"/>
          <w:lang w:eastAsia="en-GB"/>
        </w:rPr>
        <w:t>In the RAN2</w:t>
      </w:r>
      <w:r w:rsidR="00722477">
        <w:rPr>
          <w:rFonts w:ascii="Arial" w:hAnsi="Arial" w:cs="Arial"/>
          <w:lang w:eastAsia="en-GB"/>
        </w:rPr>
        <w:t xml:space="preserve"> #119-e </w:t>
      </w:r>
      <w:r>
        <w:rPr>
          <w:rFonts w:ascii="Arial" w:hAnsi="Arial" w:cs="Arial"/>
          <w:lang w:eastAsia="en-GB"/>
        </w:rPr>
        <w:t xml:space="preserve">meeting, the following </w:t>
      </w:r>
      <w:r w:rsidR="001574B5" w:rsidRPr="00B02DC2">
        <w:rPr>
          <w:rFonts w:ascii="Arial" w:hAnsi="Arial" w:cs="Arial"/>
          <w:lang w:eastAsia="en-GB"/>
        </w:rPr>
        <w:t xml:space="preserve">agreements </w:t>
      </w:r>
      <w:r>
        <w:rPr>
          <w:rFonts w:ascii="Arial" w:hAnsi="Arial" w:cs="Arial"/>
          <w:lang w:eastAsia="en-GB"/>
        </w:rPr>
        <w:t>has been made</w:t>
      </w:r>
      <w:r w:rsidR="001D0C04">
        <w:rPr>
          <w:rFonts w:ascii="宋体" w:eastAsia="宋体" w:hAnsi="宋体" w:cs="Arial"/>
          <w:lang w:val="en-US" w:eastAsia="zh-CN"/>
        </w:rPr>
        <w:t>:</w:t>
      </w:r>
    </w:p>
    <w:p w14:paraId="39E59E17" w14:textId="6CF5717C" w:rsidR="001574B5" w:rsidRDefault="001574B5" w:rsidP="001574B5">
      <w:pPr>
        <w:tabs>
          <w:tab w:val="left" w:pos="1622"/>
        </w:tabs>
        <w:spacing w:after="0"/>
        <w:jc w:val="both"/>
        <w:rPr>
          <w:rFonts w:ascii="Arial" w:hAnsi="Arial" w:cs="Arial"/>
          <w:lang w:eastAsia="en-GB"/>
        </w:rPr>
      </w:pPr>
    </w:p>
    <w:p w14:paraId="33AE1B92" w14:textId="77777777" w:rsidR="00355D0B" w:rsidRDefault="00355D0B" w:rsidP="001D0C04">
      <w:pPr>
        <w:pStyle w:val="Doc-text2"/>
        <w:pBdr>
          <w:top w:val="single" w:sz="4" w:space="1" w:color="auto"/>
          <w:left w:val="single" w:sz="4" w:space="4" w:color="auto"/>
          <w:bottom w:val="single" w:sz="4" w:space="1" w:color="auto"/>
          <w:right w:val="single" w:sz="4" w:space="4" w:color="auto"/>
        </w:pBdr>
        <w:ind w:leftChars="329" w:left="1021"/>
      </w:pPr>
      <w:r w:rsidRPr="006104CA">
        <w:t>Agreements:</w:t>
      </w:r>
    </w:p>
    <w:p w14:paraId="396479C5" w14:textId="77777777" w:rsidR="00355D0B" w:rsidRDefault="00355D0B" w:rsidP="001D0C04">
      <w:pPr>
        <w:pStyle w:val="Doc-text2"/>
        <w:numPr>
          <w:ilvl w:val="0"/>
          <w:numId w:val="26"/>
        </w:numPr>
        <w:pBdr>
          <w:top w:val="single" w:sz="4" w:space="1" w:color="auto"/>
          <w:left w:val="single" w:sz="4" w:space="4" w:color="auto"/>
          <w:bottom w:val="single" w:sz="4" w:space="1" w:color="auto"/>
          <w:right w:val="single" w:sz="4" w:space="4" w:color="auto"/>
        </w:pBdr>
        <w:ind w:leftChars="329" w:left="1018"/>
      </w:pPr>
      <w:r>
        <w:t>IoT</w:t>
      </w:r>
      <w:r w:rsidRPr="00C54FE2">
        <w:t xml:space="preserve"> NTN </w:t>
      </w:r>
      <w:r>
        <w:t xml:space="preserve">can </w:t>
      </w:r>
      <w:r w:rsidRPr="00C54FE2">
        <w:t>use the</w:t>
      </w:r>
      <w:r>
        <w:t xml:space="preserve"> mechanism for</w:t>
      </w:r>
      <w:r w:rsidRPr="00C54FE2">
        <w:t xml:space="preserve"> neighbour cell measurements </w:t>
      </w:r>
      <w:r>
        <w:t>in connected mode (</w:t>
      </w:r>
      <w:r w:rsidRPr="00C54FE2">
        <w:t xml:space="preserve">specified in Rel-17 </w:t>
      </w:r>
      <w:r>
        <w:t xml:space="preserve">for </w:t>
      </w:r>
      <w:r w:rsidRPr="00C54FE2">
        <w:t>NB-IoT</w:t>
      </w:r>
      <w:r>
        <w:t>)</w:t>
      </w:r>
      <w:r w:rsidRPr="00C54FE2">
        <w:t>.</w:t>
      </w:r>
      <w:r>
        <w:t xml:space="preserve"> FFS if any enhancements are needed (e.g. triggers) for both NB-IoT and eMTC.</w:t>
      </w:r>
    </w:p>
    <w:p w14:paraId="5EA04A37" w14:textId="77777777" w:rsidR="00355D0B" w:rsidRDefault="00355D0B" w:rsidP="001D0C04">
      <w:pPr>
        <w:pStyle w:val="Doc-text2"/>
        <w:numPr>
          <w:ilvl w:val="0"/>
          <w:numId w:val="26"/>
        </w:numPr>
        <w:pBdr>
          <w:top w:val="single" w:sz="4" w:space="1" w:color="auto"/>
          <w:left w:val="single" w:sz="4" w:space="4" w:color="auto"/>
          <w:bottom w:val="single" w:sz="4" w:space="1" w:color="auto"/>
          <w:right w:val="single" w:sz="4" w:space="4" w:color="auto"/>
        </w:pBdr>
        <w:ind w:leftChars="329" w:left="1018"/>
      </w:pPr>
      <w: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464BFD0B" w14:textId="77777777" w:rsidR="00355D0B" w:rsidRDefault="00355D0B" w:rsidP="001D0C04">
      <w:pPr>
        <w:pStyle w:val="Doc-text2"/>
        <w:numPr>
          <w:ilvl w:val="0"/>
          <w:numId w:val="26"/>
        </w:numPr>
        <w:pBdr>
          <w:top w:val="single" w:sz="4" w:space="1" w:color="auto"/>
          <w:left w:val="single" w:sz="4" w:space="4" w:color="auto"/>
          <w:bottom w:val="single" w:sz="4" w:space="1" w:color="auto"/>
          <w:right w:val="single" w:sz="4" w:space="4" w:color="auto"/>
        </w:pBdr>
        <w:ind w:leftChars="329" w:left="1018"/>
      </w:pPr>
      <w:r>
        <w:t>CHO enhancements for eMTC NTN (i.e. time/timer based solution) are introduced based on the R17 NR NTN solution. FFS on location-based solution</w:t>
      </w:r>
    </w:p>
    <w:p w14:paraId="6C375966" w14:textId="77777777" w:rsidR="00355D0B" w:rsidRDefault="00355D0B" w:rsidP="001D0C04">
      <w:pPr>
        <w:pStyle w:val="Doc-text2"/>
        <w:numPr>
          <w:ilvl w:val="0"/>
          <w:numId w:val="26"/>
        </w:numPr>
        <w:pBdr>
          <w:top w:val="single" w:sz="4" w:space="1" w:color="auto"/>
          <w:left w:val="single" w:sz="4" w:space="4" w:color="auto"/>
          <w:bottom w:val="single" w:sz="4" w:space="1" w:color="auto"/>
          <w:right w:val="single" w:sz="4" w:space="4" w:color="auto"/>
        </w:pBdr>
        <w:ind w:leftChars="329" w:left="1018"/>
      </w:pPr>
      <w:r>
        <w:t>Measurement results reporting is not supported in Rel-18 NB-IoT NTN.</w:t>
      </w:r>
    </w:p>
    <w:p w14:paraId="16667F3A" w14:textId="77777777" w:rsidR="00C87E49" w:rsidRDefault="00C87E49" w:rsidP="00355D0B">
      <w:pPr>
        <w:pStyle w:val="Doc-text2"/>
        <w:ind w:left="0" w:firstLine="0"/>
        <w:rPr>
          <w:rFonts w:eastAsia="宋体"/>
          <w:lang w:eastAsia="zh-CN"/>
        </w:rPr>
      </w:pPr>
    </w:p>
    <w:p w14:paraId="226D860F" w14:textId="4127FCDE" w:rsidR="00355D0B" w:rsidRDefault="00C87E49" w:rsidP="00355D0B">
      <w:pPr>
        <w:pStyle w:val="Doc-text2"/>
        <w:ind w:left="0" w:firstLine="0"/>
        <w:rPr>
          <w:rFonts w:eastAsia="宋体"/>
          <w:lang w:eastAsia="zh-CN"/>
        </w:rPr>
      </w:pPr>
      <w:r>
        <w:rPr>
          <w:rFonts w:eastAsia="宋体" w:hint="eastAsia"/>
          <w:lang w:eastAsia="zh-CN"/>
        </w:rPr>
        <w:t>I</w:t>
      </w:r>
      <w:r>
        <w:rPr>
          <w:rFonts w:eastAsia="宋体"/>
          <w:lang w:eastAsia="zh-CN"/>
        </w:rPr>
        <w:t>n the RAN2#119bis-e meeting, due to the limit time, only the follow</w:t>
      </w:r>
      <w:r w:rsidR="00340160">
        <w:rPr>
          <w:rFonts w:eastAsia="宋体"/>
          <w:lang w:eastAsia="zh-CN"/>
        </w:rPr>
        <w:t>ing</w:t>
      </w:r>
      <w:r>
        <w:rPr>
          <w:rFonts w:eastAsia="宋体"/>
          <w:lang w:eastAsia="zh-CN"/>
        </w:rPr>
        <w:t xml:space="preserve"> agreement has been made:</w:t>
      </w:r>
    </w:p>
    <w:p w14:paraId="4FA73D21" w14:textId="2AF18538" w:rsidR="00C87E49" w:rsidRDefault="00C87E49" w:rsidP="00C87E49">
      <w:pPr>
        <w:pStyle w:val="Doc-text2"/>
        <w:pBdr>
          <w:top w:val="single" w:sz="4" w:space="1" w:color="auto"/>
          <w:left w:val="single" w:sz="4" w:space="4" w:color="auto"/>
          <w:bottom w:val="single" w:sz="4" w:space="1" w:color="auto"/>
          <w:right w:val="single" w:sz="4" w:space="4" w:color="auto"/>
        </w:pBdr>
        <w:ind w:leftChars="329" w:left="1021"/>
      </w:pPr>
      <w:r>
        <w:t>Agreements:</w:t>
      </w:r>
    </w:p>
    <w:p w14:paraId="5DE10456" w14:textId="77777777" w:rsidR="00C87E49" w:rsidRDefault="00C87E49" w:rsidP="00C87E49">
      <w:pPr>
        <w:pStyle w:val="Doc-text2"/>
        <w:numPr>
          <w:ilvl w:val="0"/>
          <w:numId w:val="28"/>
        </w:numPr>
        <w:pBdr>
          <w:top w:val="single" w:sz="4" w:space="1" w:color="auto"/>
          <w:left w:val="single" w:sz="4" w:space="4" w:color="auto"/>
          <w:bottom w:val="single" w:sz="4" w:space="1" w:color="auto"/>
          <w:right w:val="single" w:sz="4" w:space="4" w:color="auto"/>
        </w:pBdr>
      </w:pPr>
      <w:r>
        <w:t>For eMTC over NTN, for both earth-moving and earth-fixed cell scenarios, we introduce location based CHO triggering events</w:t>
      </w:r>
    </w:p>
    <w:p w14:paraId="19706515" w14:textId="29FB5338" w:rsidR="00C87E49" w:rsidRDefault="00C87E49" w:rsidP="00355D0B">
      <w:pPr>
        <w:pStyle w:val="Doc-text2"/>
        <w:ind w:left="0" w:firstLine="0"/>
        <w:rPr>
          <w:rFonts w:eastAsia="宋体"/>
          <w:lang w:eastAsia="zh-CN"/>
        </w:rPr>
      </w:pPr>
    </w:p>
    <w:p w14:paraId="041701BD" w14:textId="6C767CDA" w:rsidR="00340160" w:rsidRDefault="00340160" w:rsidP="00340160">
      <w:pPr>
        <w:pStyle w:val="Doc-text2"/>
        <w:ind w:left="0" w:firstLine="0"/>
        <w:rPr>
          <w:rFonts w:eastAsia="宋体"/>
          <w:lang w:eastAsia="zh-CN"/>
        </w:rPr>
      </w:pPr>
      <w:r>
        <w:rPr>
          <w:rFonts w:eastAsia="宋体" w:hint="eastAsia"/>
          <w:lang w:eastAsia="zh-CN"/>
        </w:rPr>
        <w:t>I</w:t>
      </w:r>
      <w:r>
        <w:rPr>
          <w:rFonts w:eastAsia="宋体"/>
          <w:lang w:eastAsia="zh-CN"/>
        </w:rPr>
        <w:t>n the RAN2#120 meeting, we had the following agreements:</w:t>
      </w:r>
    </w:p>
    <w:p w14:paraId="01AA69BC" w14:textId="5C08010A" w:rsidR="00340160" w:rsidRDefault="00340160" w:rsidP="00340160">
      <w:pPr>
        <w:pStyle w:val="Doc-text2"/>
        <w:pBdr>
          <w:top w:val="single" w:sz="4" w:space="1" w:color="auto"/>
          <w:left w:val="single" w:sz="4" w:space="4" w:color="auto"/>
          <w:bottom w:val="single" w:sz="4" w:space="1" w:color="auto"/>
          <w:right w:val="single" w:sz="4" w:space="4" w:color="auto"/>
        </w:pBdr>
        <w:ind w:leftChars="329" w:left="1021"/>
      </w:pPr>
      <w:r>
        <w:t>Agreements:</w:t>
      </w:r>
    </w:p>
    <w:p w14:paraId="3A1CB75F" w14:textId="5E9C8F3B" w:rsidR="00340160" w:rsidRDefault="00340160" w:rsidP="00340160">
      <w:pPr>
        <w:pStyle w:val="Doc-text2"/>
        <w:pBdr>
          <w:top w:val="single" w:sz="4" w:space="1" w:color="auto"/>
          <w:left w:val="single" w:sz="4" w:space="4" w:color="auto"/>
          <w:bottom w:val="single" w:sz="4" w:space="1" w:color="auto"/>
          <w:right w:val="single" w:sz="4" w:space="4" w:color="auto"/>
        </w:pBdr>
        <w:ind w:leftChars="329" w:left="1021"/>
      </w:pPr>
    </w:p>
    <w:p w14:paraId="372FBDF9" w14:textId="7EB072FD" w:rsidR="00340160" w:rsidRPr="00340160" w:rsidRDefault="00340160" w:rsidP="00340160">
      <w:pPr>
        <w:pStyle w:val="Doc-text2"/>
        <w:pBdr>
          <w:top w:val="single" w:sz="4" w:space="1" w:color="auto"/>
          <w:left w:val="single" w:sz="4" w:space="4" w:color="auto"/>
          <w:bottom w:val="single" w:sz="4" w:space="1" w:color="auto"/>
          <w:right w:val="single" w:sz="4" w:space="4" w:color="auto"/>
        </w:pBdr>
        <w:ind w:leftChars="329" w:left="1021"/>
      </w:pPr>
      <w:r w:rsidRPr="00340160">
        <w:t>1.</w:t>
      </w:r>
      <w:r w:rsidRPr="00340160">
        <w:tab/>
        <w:t>For NB-IoT we support a trigger for neighbour cell measurements based on T-service (in the quasi-Earth fixed case) (this does not preclude anything for eMTC discussion)</w:t>
      </w:r>
    </w:p>
    <w:p w14:paraId="1BD1DB61" w14:textId="581C15F8" w:rsidR="00340160" w:rsidRDefault="00340160" w:rsidP="00340160">
      <w:pPr>
        <w:pStyle w:val="Doc-text2"/>
        <w:pBdr>
          <w:top w:val="single" w:sz="4" w:space="1" w:color="auto"/>
          <w:left w:val="single" w:sz="4" w:space="4" w:color="auto"/>
          <w:bottom w:val="single" w:sz="4" w:space="1" w:color="auto"/>
          <w:right w:val="single" w:sz="4" w:space="4" w:color="auto"/>
        </w:pBdr>
        <w:ind w:leftChars="329" w:left="1021"/>
      </w:pPr>
      <w:r>
        <w:t>2.</w:t>
      </w:r>
      <w:r>
        <w:tab/>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5CD9D202" w14:textId="7D35D82D" w:rsidR="00340160" w:rsidRDefault="00340160" w:rsidP="00340160">
      <w:pPr>
        <w:pStyle w:val="Doc-text2"/>
        <w:pBdr>
          <w:top w:val="single" w:sz="4" w:space="1" w:color="auto"/>
          <w:left w:val="single" w:sz="4" w:space="4" w:color="auto"/>
          <w:bottom w:val="single" w:sz="4" w:space="1" w:color="auto"/>
          <w:right w:val="single" w:sz="4" w:space="4" w:color="auto"/>
        </w:pBdr>
        <w:ind w:leftChars="329" w:left="1021"/>
      </w:pPr>
      <w:r>
        <w:t>3.</w:t>
      </w:r>
      <w:r>
        <w:tab/>
        <w:t>RAN2 will not specify the condition of stopping UE measurement before t-Service</w:t>
      </w:r>
    </w:p>
    <w:p w14:paraId="2B5A724A" w14:textId="13B719A3" w:rsidR="00340160" w:rsidRDefault="00340160" w:rsidP="00340160">
      <w:pPr>
        <w:pStyle w:val="Doc-text2"/>
        <w:pBdr>
          <w:top w:val="single" w:sz="4" w:space="1" w:color="auto"/>
          <w:left w:val="single" w:sz="4" w:space="4" w:color="auto"/>
          <w:bottom w:val="single" w:sz="4" w:space="1" w:color="auto"/>
          <w:right w:val="single" w:sz="4" w:space="4" w:color="auto"/>
        </w:pBdr>
        <w:ind w:leftChars="329" w:left="1021"/>
      </w:pPr>
      <w:r>
        <w:t>4.</w:t>
      </w:r>
      <w:r>
        <w:tab/>
        <w:t>For earth-moving cell, the UE derives when loss of coverage of current cell happens (how to derive this information is FFS)</w:t>
      </w:r>
    </w:p>
    <w:p w14:paraId="3B8975DE" w14:textId="15A4E541" w:rsidR="00340160" w:rsidRPr="00340160" w:rsidRDefault="00340160" w:rsidP="00340160">
      <w:pPr>
        <w:pStyle w:val="Doc-text2"/>
        <w:pBdr>
          <w:top w:val="single" w:sz="4" w:space="1" w:color="auto"/>
          <w:left w:val="single" w:sz="4" w:space="4" w:color="auto"/>
          <w:bottom w:val="single" w:sz="4" w:space="1" w:color="auto"/>
          <w:right w:val="single" w:sz="4" w:space="4" w:color="auto"/>
        </w:pBdr>
        <w:ind w:leftChars="329" w:left="1021"/>
      </w:pPr>
      <w:r>
        <w:t>5.</w:t>
      </w:r>
      <w:r>
        <w:tab/>
        <w:t>For earth-moving cell, UE shall start intra/inter frequency measurements in RRC connected mode before losing coverage. The exact time to start measurements can be left to UE implementation</w:t>
      </w:r>
    </w:p>
    <w:p w14:paraId="60CB62F8" w14:textId="44C5EA62" w:rsidR="005365D7" w:rsidRDefault="005365D7" w:rsidP="005365D7">
      <w:pPr>
        <w:pStyle w:val="Doc-text2"/>
        <w:pBdr>
          <w:top w:val="single" w:sz="4" w:space="1" w:color="auto"/>
          <w:left w:val="single" w:sz="4" w:space="4" w:color="auto"/>
          <w:bottom w:val="single" w:sz="4" w:space="1" w:color="auto"/>
          <w:right w:val="single" w:sz="4" w:space="4" w:color="auto"/>
        </w:pBdr>
        <w:ind w:leftChars="329" w:left="1021"/>
      </w:pPr>
      <w:r>
        <w:t>6.</w:t>
      </w:r>
      <w:r>
        <w:tab/>
        <w:t>CHO time trigger 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p>
    <w:p w14:paraId="75A0A38D" w14:textId="3FB7A769" w:rsidR="005365D7" w:rsidRDefault="005365D7" w:rsidP="005365D7">
      <w:pPr>
        <w:pStyle w:val="Doc-text2"/>
        <w:pBdr>
          <w:top w:val="single" w:sz="4" w:space="1" w:color="auto"/>
          <w:left w:val="single" w:sz="4" w:space="4" w:color="auto"/>
          <w:bottom w:val="single" w:sz="4" w:space="1" w:color="auto"/>
          <w:right w:val="single" w:sz="4" w:space="4" w:color="auto"/>
        </w:pBdr>
        <w:ind w:leftChars="329" w:left="1021"/>
      </w:pPr>
      <w:r>
        <w:t>7.</w:t>
      </w:r>
      <w:r>
        <w:tab/>
        <w:t>For eMTC NTN, introduce a location-based conditional 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p w14:paraId="2EAF41CC" w14:textId="6804E2AB" w:rsidR="005365D7" w:rsidRDefault="005365D7" w:rsidP="005365D7">
      <w:pPr>
        <w:pStyle w:val="Doc-text2"/>
        <w:pBdr>
          <w:top w:val="single" w:sz="4" w:space="1" w:color="auto"/>
          <w:left w:val="single" w:sz="4" w:space="4" w:color="auto"/>
          <w:bottom w:val="single" w:sz="4" w:space="1" w:color="auto"/>
          <w:right w:val="single" w:sz="4" w:space="4" w:color="auto"/>
        </w:pBdr>
        <w:ind w:leftChars="329" w:left="1021"/>
      </w:pPr>
      <w:r>
        <w:t>8.</w:t>
      </w:r>
      <w:r>
        <w:tab/>
        <w:t>For eMTC NTN, introduce event A4 based conditional trigger (similar to condEventA4 in NR).</w:t>
      </w:r>
    </w:p>
    <w:p w14:paraId="7B9C7D22" w14:textId="05BBFBC3" w:rsidR="00340160" w:rsidRDefault="005365D7" w:rsidP="00E1239C">
      <w:pPr>
        <w:pStyle w:val="Doc-text2"/>
        <w:pBdr>
          <w:top w:val="single" w:sz="4" w:space="1" w:color="auto"/>
          <w:left w:val="single" w:sz="4" w:space="4" w:color="auto"/>
          <w:bottom w:val="single" w:sz="4" w:space="1" w:color="auto"/>
          <w:right w:val="single" w:sz="4" w:space="4" w:color="auto"/>
        </w:pBdr>
        <w:ind w:leftChars="329" w:left="1021"/>
      </w:pPr>
      <w:r>
        <w:t>9.</w:t>
      </w:r>
      <w:r>
        <w:tab/>
        <w:t>FFS whether time and location-based trigger conditions may be configured independently (i.e., without a jointly configured event A4 measurement condition) for eMTC NTN.</w:t>
      </w:r>
    </w:p>
    <w:p w14:paraId="29B44710" w14:textId="77777777" w:rsidR="00340160" w:rsidRPr="00340160" w:rsidRDefault="00340160" w:rsidP="00355D0B">
      <w:pPr>
        <w:pStyle w:val="Doc-text2"/>
        <w:ind w:left="0" w:firstLine="0"/>
        <w:rPr>
          <w:rFonts w:eastAsia="宋体"/>
          <w:lang w:eastAsia="zh-CN"/>
        </w:rPr>
      </w:pPr>
    </w:p>
    <w:p w14:paraId="5EBCA56B" w14:textId="20456EAF" w:rsidR="00355D0B" w:rsidRPr="00355D0B" w:rsidRDefault="00355D0B" w:rsidP="00355D0B">
      <w:r>
        <w:rPr>
          <w:rFonts w:ascii="Arial" w:eastAsia="宋体" w:hAnsi="Arial" w:cs="Arial"/>
        </w:rPr>
        <w:t xml:space="preserve">This contribution will discuss the measurement triggers </w:t>
      </w:r>
      <w:r>
        <w:rPr>
          <w:rFonts w:ascii="Arial" w:eastAsia="宋体" w:hAnsi="Arial" w:cs="Arial" w:hint="eastAsia"/>
        </w:rPr>
        <w:t>for IoT-NTN</w:t>
      </w:r>
      <w:r>
        <w:rPr>
          <w:rFonts w:ascii="Arial" w:eastAsia="宋体" w:hAnsi="Arial" w:cs="Arial"/>
        </w:rPr>
        <w:t>.</w:t>
      </w:r>
    </w:p>
    <w:p w14:paraId="0C625E6C" w14:textId="606FF6C7" w:rsidR="00355D0B" w:rsidRDefault="00972E3C" w:rsidP="00355D0B">
      <w:pPr>
        <w:pStyle w:val="1"/>
        <w:rPr>
          <w:rFonts w:cs="Arial"/>
          <w:b/>
          <w:lang w:val="en-US" w:eastAsia="ko-KR"/>
        </w:rPr>
      </w:pPr>
      <w:r w:rsidRPr="00A8423A">
        <w:rPr>
          <w:rFonts w:cs="Arial"/>
          <w:b/>
          <w:lang w:val="en-US" w:eastAsia="ko-KR"/>
        </w:rPr>
        <w:lastRenderedPageBreak/>
        <w:t xml:space="preserve">2 </w:t>
      </w:r>
      <w:r w:rsidR="00500F78" w:rsidRPr="00A8423A">
        <w:rPr>
          <w:rFonts w:cs="Arial"/>
          <w:b/>
          <w:lang w:val="en-US" w:eastAsia="ko-KR"/>
        </w:rPr>
        <w:t>Discussion</w:t>
      </w:r>
    </w:p>
    <w:p w14:paraId="425B2448" w14:textId="610E941F" w:rsidR="0056645F" w:rsidRDefault="0056645F" w:rsidP="0056645F">
      <w:pPr>
        <w:pStyle w:val="Comments"/>
        <w:rPr>
          <w:b/>
          <w:bCs/>
          <w:i w:val="0"/>
          <w:iCs/>
          <w:u w:val="single"/>
        </w:rPr>
      </w:pPr>
      <w:r w:rsidRPr="0056645F">
        <w:rPr>
          <w:b/>
          <w:bCs/>
          <w:i w:val="0"/>
          <w:iCs/>
          <w:u w:val="single"/>
        </w:rPr>
        <w:t>Distance-based measurement trigger</w:t>
      </w:r>
      <w:r>
        <w:rPr>
          <w:b/>
          <w:bCs/>
          <w:i w:val="0"/>
          <w:iCs/>
          <w:u w:val="single"/>
        </w:rPr>
        <w:t xml:space="preserve"> – earth moving cell</w:t>
      </w:r>
    </w:p>
    <w:p w14:paraId="00FAEF1E" w14:textId="35B3F557" w:rsidR="0056645F" w:rsidRDefault="0056645F" w:rsidP="0056645F">
      <w:pPr>
        <w:pStyle w:val="Comments"/>
        <w:rPr>
          <w:b/>
          <w:bCs/>
          <w:i w:val="0"/>
          <w:iCs/>
          <w:u w:val="single"/>
        </w:rPr>
      </w:pPr>
    </w:p>
    <w:p w14:paraId="53D7E139" w14:textId="3106D005" w:rsidR="0056645F" w:rsidRPr="00D90440" w:rsidRDefault="0056645F" w:rsidP="0056645F">
      <w:pPr>
        <w:pStyle w:val="Comments"/>
        <w:rPr>
          <w:rFonts w:eastAsia="宋体"/>
          <w:i w:val="0"/>
          <w:iCs/>
          <w:lang w:val="en-US" w:eastAsia="zh-CN"/>
        </w:rPr>
      </w:pPr>
      <w:r>
        <w:rPr>
          <w:i w:val="0"/>
          <w:iCs/>
        </w:rPr>
        <w:t>The idea of distance-based measurement trigger is</w:t>
      </w:r>
      <w:r>
        <w:rPr>
          <w:i w:val="0"/>
          <w:iCs/>
          <w:lang w:val="en-US"/>
        </w:rPr>
        <w:t xml:space="preserve"> when the distance between the UE and the satellit</w:t>
      </w:r>
      <w:r w:rsidR="00D90440">
        <w:rPr>
          <w:i w:val="0"/>
          <w:iCs/>
          <w:lang w:val="en-US"/>
        </w:rPr>
        <w:t>e/reference point</w:t>
      </w:r>
      <w:r>
        <w:rPr>
          <w:i w:val="0"/>
          <w:iCs/>
          <w:lang w:val="en-US"/>
        </w:rPr>
        <w:t xml:space="preserve"> exceed a network configured threshold, indicating UE is about to lose the coverag</w:t>
      </w:r>
      <w:r w:rsidR="00D90440">
        <w:rPr>
          <w:i w:val="0"/>
          <w:iCs/>
          <w:lang w:val="en-US"/>
        </w:rPr>
        <w:t>e of serving cell</w:t>
      </w:r>
      <w:r>
        <w:rPr>
          <w:i w:val="0"/>
          <w:iCs/>
          <w:lang w:val="en-US"/>
        </w:rPr>
        <w:t>, UE can start intra/inter-frequency measurement in connected mode. This measurement trigger shoud only be used in earth-moving cell, because unlike the fast moving satellie, the change in distance distance of (quasi-)earth fixed cell is small</w:t>
      </w:r>
      <w:r w:rsidR="00D90440">
        <w:rPr>
          <w:i w:val="0"/>
          <w:iCs/>
          <w:lang w:val="en-US"/>
        </w:rPr>
        <w:t xml:space="preserve">. </w:t>
      </w:r>
    </w:p>
    <w:p w14:paraId="6B2E0C18" w14:textId="61F262A2" w:rsidR="0056645F" w:rsidRDefault="0056645F" w:rsidP="0056645F">
      <w:pPr>
        <w:pStyle w:val="Comments"/>
        <w:rPr>
          <w:i w:val="0"/>
          <w:iCs/>
          <w:lang w:val="en-US"/>
        </w:rPr>
      </w:pPr>
      <w:r>
        <w:rPr>
          <w:rFonts w:eastAsia="宋体" w:hint="eastAsia"/>
          <w:i w:val="0"/>
          <w:iCs/>
          <w:lang w:val="en-US" w:eastAsia="zh-CN"/>
        </w:rPr>
        <w:t>H</w:t>
      </w:r>
      <w:r>
        <w:rPr>
          <w:rFonts w:eastAsia="宋体"/>
          <w:i w:val="0"/>
          <w:iCs/>
          <w:lang w:val="en-US" w:eastAsia="zh-CN"/>
        </w:rPr>
        <w:t xml:space="preserve">owever, </w:t>
      </w:r>
      <w:r w:rsidRPr="0056645F">
        <w:rPr>
          <w:rFonts w:hint="eastAsia"/>
          <w:i w:val="0"/>
          <w:iCs/>
        </w:rPr>
        <w:t>R</w:t>
      </w:r>
      <w:r w:rsidRPr="0056645F">
        <w:rPr>
          <w:i w:val="0"/>
          <w:iCs/>
        </w:rPr>
        <w:t>AN2</w:t>
      </w:r>
      <w:r>
        <w:rPr>
          <w:i w:val="0"/>
          <w:iCs/>
        </w:rPr>
        <w:t xml:space="preserve"> has agreed that for earth-moving cell, </w:t>
      </w:r>
      <w:r w:rsidRPr="0056645F">
        <w:rPr>
          <w:i w:val="0"/>
          <w:iCs/>
        </w:rPr>
        <w:t>the UE derives when loss of coverage of current cell happens</w:t>
      </w:r>
      <w:r>
        <w:rPr>
          <w:i w:val="0"/>
          <w:iCs/>
        </w:rPr>
        <w:t xml:space="preserve">. </w:t>
      </w:r>
      <w:r w:rsidRPr="0056645F">
        <w:rPr>
          <w:i w:val="0"/>
          <w:iCs/>
        </w:rPr>
        <w:t>UE shall start intra/inter frequency measurements in RRC connected mode before losing coverage.</w:t>
      </w:r>
      <w:r>
        <w:rPr>
          <w:i w:val="0"/>
          <w:iCs/>
        </w:rPr>
        <w:t>The concept is similar to distance-based measurement.</w:t>
      </w:r>
      <w:r>
        <w:rPr>
          <w:i w:val="0"/>
          <w:iCs/>
          <w:lang w:val="en-US"/>
        </w:rPr>
        <w:t xml:space="preserve"> Both solutions focus on the condition of losing serving cell coverage, the differece is one uses time, the other uses distance. Since RAN2 has already agreed on the time</w:t>
      </w:r>
      <w:r w:rsidR="0013157C">
        <w:rPr>
          <w:i w:val="0"/>
          <w:iCs/>
          <w:lang w:val="en-US"/>
        </w:rPr>
        <w:t>-</w:t>
      </w:r>
      <w:r>
        <w:rPr>
          <w:i w:val="0"/>
          <w:iCs/>
          <w:lang w:val="en-US"/>
        </w:rPr>
        <w:t xml:space="preserve">based solution, the </w:t>
      </w:r>
      <w:r w:rsidR="003D6FAF">
        <w:rPr>
          <w:i w:val="0"/>
          <w:iCs/>
          <w:lang w:val="en-US"/>
        </w:rPr>
        <w:t xml:space="preserve">similar </w:t>
      </w:r>
      <w:r>
        <w:rPr>
          <w:i w:val="0"/>
          <w:iCs/>
          <w:lang w:val="en-US"/>
        </w:rPr>
        <w:t>distance</w:t>
      </w:r>
      <w:r w:rsidR="0013157C">
        <w:rPr>
          <w:i w:val="0"/>
          <w:iCs/>
          <w:lang w:val="en-US"/>
        </w:rPr>
        <w:t>-</w:t>
      </w:r>
      <w:r>
        <w:rPr>
          <w:i w:val="0"/>
          <w:iCs/>
          <w:lang w:val="en-US"/>
        </w:rPr>
        <w:t xml:space="preserve">based solution looks redundant. </w:t>
      </w:r>
    </w:p>
    <w:p w14:paraId="50E70E2A" w14:textId="4B1736AD" w:rsidR="0056645F" w:rsidRDefault="0056645F" w:rsidP="0056645F">
      <w:pPr>
        <w:pStyle w:val="Comments"/>
        <w:rPr>
          <w:i w:val="0"/>
          <w:iCs/>
          <w:lang w:val="en-US"/>
        </w:rPr>
      </w:pPr>
    </w:p>
    <w:p w14:paraId="54996762" w14:textId="1938A525" w:rsidR="0056645F" w:rsidRPr="0056645F" w:rsidRDefault="0056645F" w:rsidP="0056645F">
      <w:pPr>
        <w:pStyle w:val="Comments"/>
        <w:rPr>
          <w:rFonts w:eastAsia="宋体"/>
          <w:b/>
          <w:bCs/>
          <w:i w:val="0"/>
          <w:iCs/>
          <w:lang w:val="en-US" w:eastAsia="zh-CN"/>
        </w:rPr>
      </w:pPr>
      <w:r w:rsidRPr="0056645F">
        <w:rPr>
          <w:rFonts w:eastAsia="宋体" w:hint="eastAsia"/>
          <w:b/>
          <w:bCs/>
          <w:i w:val="0"/>
          <w:iCs/>
          <w:lang w:val="en-US" w:eastAsia="zh-CN"/>
        </w:rPr>
        <w:t>P</w:t>
      </w:r>
      <w:r w:rsidRPr="0056645F">
        <w:rPr>
          <w:rFonts w:eastAsia="宋体"/>
          <w:b/>
          <w:bCs/>
          <w:i w:val="0"/>
          <w:iCs/>
          <w:lang w:val="en-US" w:eastAsia="zh-CN"/>
        </w:rPr>
        <w:t>roposal 1: RAN2 does not specify distance-based measurement trigger</w:t>
      </w:r>
      <w:r w:rsidR="0013157C">
        <w:rPr>
          <w:rFonts w:eastAsia="宋体"/>
          <w:b/>
          <w:bCs/>
          <w:i w:val="0"/>
          <w:iCs/>
          <w:lang w:val="en-US" w:eastAsia="zh-CN"/>
        </w:rPr>
        <w:t xml:space="preserve"> for earth-moving cell and earth-fixed cell</w:t>
      </w:r>
      <w:r w:rsidRPr="0056645F">
        <w:rPr>
          <w:rFonts w:eastAsia="宋体"/>
          <w:b/>
          <w:bCs/>
          <w:i w:val="0"/>
          <w:iCs/>
          <w:lang w:val="en-US" w:eastAsia="zh-CN"/>
        </w:rPr>
        <w:t>.</w:t>
      </w:r>
    </w:p>
    <w:p w14:paraId="34F1174C" w14:textId="77777777" w:rsidR="0056645F" w:rsidRPr="0056645F" w:rsidRDefault="0056645F" w:rsidP="0056645F">
      <w:pPr>
        <w:pStyle w:val="Comments"/>
        <w:rPr>
          <w:b/>
          <w:bCs/>
          <w:i w:val="0"/>
          <w:iCs/>
          <w:u w:val="single"/>
        </w:rPr>
      </w:pPr>
    </w:p>
    <w:p w14:paraId="4FACA8FA" w14:textId="1FCEED3D" w:rsidR="00983117" w:rsidRPr="007A1C2B" w:rsidRDefault="00983117" w:rsidP="007A1C2B">
      <w:pPr>
        <w:pStyle w:val="Comments"/>
        <w:rPr>
          <w:b/>
          <w:bCs/>
          <w:i w:val="0"/>
          <w:iCs/>
          <w:u w:val="single"/>
        </w:rPr>
      </w:pPr>
      <w:r w:rsidRPr="00983117">
        <w:rPr>
          <w:b/>
          <w:bCs/>
          <w:i w:val="0"/>
          <w:iCs/>
          <w:u w:val="single"/>
        </w:rPr>
        <w:t>Time-based measurement triggers based on serving cell coverage</w:t>
      </w:r>
      <w:r w:rsidR="007A1C2B">
        <w:rPr>
          <w:b/>
          <w:bCs/>
          <w:i w:val="0"/>
          <w:iCs/>
          <w:u w:val="single"/>
        </w:rPr>
        <w:t xml:space="preserve"> </w:t>
      </w:r>
      <w:r w:rsidR="0056645F">
        <w:rPr>
          <w:b/>
          <w:bCs/>
          <w:i w:val="0"/>
          <w:iCs/>
          <w:u w:val="single"/>
        </w:rPr>
        <w:t>–</w:t>
      </w:r>
      <w:r w:rsidR="007A1C2B">
        <w:rPr>
          <w:b/>
          <w:bCs/>
          <w:i w:val="0"/>
          <w:iCs/>
          <w:u w:val="single"/>
        </w:rPr>
        <w:t xml:space="preserve"> </w:t>
      </w:r>
      <w:r w:rsidR="0056645F">
        <w:rPr>
          <w:b/>
          <w:bCs/>
          <w:i w:val="0"/>
          <w:iCs/>
          <w:u w:val="single"/>
        </w:rPr>
        <w:t>earth moving</w:t>
      </w:r>
      <w:r w:rsidRPr="007A1C2B">
        <w:rPr>
          <w:b/>
          <w:bCs/>
          <w:i w:val="0"/>
          <w:iCs/>
          <w:u w:val="single"/>
        </w:rPr>
        <w:t xml:space="preserve"> cell</w:t>
      </w:r>
    </w:p>
    <w:p w14:paraId="774E98DD" w14:textId="360568EF" w:rsidR="00983117" w:rsidRDefault="00983117" w:rsidP="00355D0B">
      <w:pPr>
        <w:rPr>
          <w:rFonts w:ascii="Arial" w:eastAsia="宋体" w:hAnsi="Arial" w:cs="Arial"/>
          <w:lang w:eastAsia="zh-CN"/>
        </w:rPr>
      </w:pPr>
    </w:p>
    <w:p w14:paraId="7AF0A072" w14:textId="7D3D4164" w:rsidR="00355D0B" w:rsidRPr="00A8423A" w:rsidRDefault="00355D0B" w:rsidP="00722477">
      <w:pPr>
        <w:jc w:val="both"/>
        <w:rPr>
          <w:rFonts w:ascii="Arial" w:eastAsia="宋体" w:hAnsi="Arial" w:cs="Arial"/>
          <w:lang w:val="en-US" w:eastAsia="zh-CN"/>
        </w:rPr>
      </w:pPr>
      <w:r w:rsidRPr="00A8423A">
        <w:rPr>
          <w:rFonts w:ascii="Arial" w:hAnsi="Arial" w:cs="Arial"/>
        </w:rPr>
        <w:t>For the earth</w:t>
      </w:r>
      <w:r w:rsidR="00C8663E">
        <w:rPr>
          <w:rFonts w:ascii="Arial" w:hAnsi="Arial" w:cs="Arial"/>
        </w:rPr>
        <w:t>-</w:t>
      </w:r>
      <w:r w:rsidRPr="00A8423A">
        <w:rPr>
          <w:rFonts w:ascii="Arial" w:hAnsi="Arial" w:cs="Arial"/>
        </w:rPr>
        <w:t xml:space="preserve">moving cell, the </w:t>
      </w:r>
      <w:r w:rsidRPr="00677932">
        <w:rPr>
          <w:rFonts w:ascii="Arial" w:hAnsi="Arial" w:cs="Arial"/>
          <w:i/>
          <w:iCs/>
        </w:rPr>
        <w:t>t-Service</w:t>
      </w:r>
      <w:r w:rsidRPr="00A8423A">
        <w:rPr>
          <w:rFonts w:ascii="Arial" w:hAnsi="Arial" w:cs="Arial"/>
        </w:rPr>
        <w:t xml:space="preserve"> is not broadcast. Since there is no location report </w:t>
      </w:r>
      <w:r w:rsidR="00C8663E">
        <w:rPr>
          <w:rFonts w:ascii="Arial" w:hAnsi="Arial" w:cs="Arial"/>
        </w:rPr>
        <w:t>from UE to network</w:t>
      </w:r>
      <w:r w:rsidRPr="00A8423A">
        <w:rPr>
          <w:rFonts w:ascii="Arial" w:hAnsi="Arial" w:cs="Arial"/>
        </w:rPr>
        <w:t xml:space="preserve">, the satellite is not able to know the exact location of UE. </w:t>
      </w:r>
      <w:r w:rsidRPr="00A8423A">
        <w:rPr>
          <w:rFonts w:ascii="Arial" w:eastAsia="宋体" w:hAnsi="Arial" w:cs="Arial"/>
          <w:lang w:val="en-US" w:eastAsia="zh-CN"/>
        </w:rPr>
        <w:t xml:space="preserve">The TA information </w:t>
      </w:r>
      <w:r w:rsidR="00C8663E">
        <w:rPr>
          <w:rFonts w:ascii="Arial" w:eastAsia="宋体" w:hAnsi="Arial" w:cs="Arial"/>
          <w:lang w:val="en-US" w:eastAsia="zh-CN"/>
        </w:rPr>
        <w:t xml:space="preserve">that </w:t>
      </w:r>
      <w:r w:rsidRPr="00A8423A">
        <w:rPr>
          <w:rFonts w:ascii="Arial" w:eastAsia="宋体" w:hAnsi="Arial" w:cs="Arial"/>
          <w:lang w:val="en-US" w:eastAsia="zh-CN"/>
        </w:rPr>
        <w:t xml:space="preserve">UE reported to the network is also ambiguity to determine the UE location. </w:t>
      </w:r>
      <w:r w:rsidRPr="00A8423A">
        <w:rPr>
          <w:rFonts w:ascii="Arial" w:hAnsi="Arial" w:cs="Arial"/>
        </w:rPr>
        <w:t xml:space="preserve">Hence, the network cannot </w:t>
      </w:r>
      <w:r w:rsidR="00012712">
        <w:rPr>
          <w:rFonts w:ascii="Arial" w:eastAsia="宋体" w:hAnsi="Arial" w:cs="Arial"/>
          <w:lang w:val="en-US" w:eastAsia="zh-CN"/>
        </w:rPr>
        <w:t>infer</w:t>
      </w:r>
      <w:r w:rsidRPr="00A8423A">
        <w:rPr>
          <w:rFonts w:ascii="Arial" w:eastAsia="宋体" w:hAnsi="Arial" w:cs="Arial"/>
          <w:lang w:val="en-US" w:eastAsia="zh-CN"/>
        </w:rPr>
        <w:t xml:space="preserve"> when the UE is about to lose the coverage of current cell.  NTN capable UE</w:t>
      </w:r>
      <w:r w:rsidR="00722477">
        <w:rPr>
          <w:rFonts w:ascii="Arial" w:eastAsia="宋体" w:hAnsi="Arial" w:cs="Arial"/>
          <w:lang w:val="en-US" w:eastAsia="zh-CN"/>
        </w:rPr>
        <w:t>,</w:t>
      </w:r>
      <w:r w:rsidRPr="00A8423A">
        <w:rPr>
          <w:rFonts w:ascii="Arial" w:eastAsia="宋体" w:hAnsi="Arial" w:cs="Arial"/>
          <w:lang w:val="en-US" w:eastAsia="zh-CN"/>
        </w:rPr>
        <w:t xml:space="preserve"> which has GNSS capability</w:t>
      </w:r>
      <w:r w:rsidR="00012712">
        <w:rPr>
          <w:rFonts w:ascii="Arial" w:eastAsia="宋体" w:hAnsi="Arial" w:cs="Arial"/>
          <w:lang w:val="en-US" w:eastAsia="zh-CN"/>
        </w:rPr>
        <w:t>,</w:t>
      </w:r>
      <w:r w:rsidRPr="00A8423A">
        <w:rPr>
          <w:rFonts w:ascii="Arial" w:eastAsia="宋体" w:hAnsi="Arial" w:cs="Arial"/>
          <w:lang w:val="en-US" w:eastAsia="zh-CN"/>
        </w:rPr>
        <w:t xml:space="preserve"> has to predict the time of losing coverage by itself.</w:t>
      </w:r>
    </w:p>
    <w:p w14:paraId="76BACE3E" w14:textId="5C29BCE4" w:rsidR="005319AD" w:rsidRDefault="00355D0B" w:rsidP="00355D0B">
      <w:pPr>
        <w:rPr>
          <w:rFonts w:ascii="Arial" w:eastAsia="宋体" w:hAnsi="Arial" w:cs="Arial"/>
          <w:lang w:val="en-US" w:eastAsia="zh-CN"/>
        </w:rPr>
      </w:pPr>
      <w:r w:rsidRPr="00A8423A">
        <w:rPr>
          <w:rFonts w:ascii="Arial" w:eastAsia="宋体" w:hAnsi="Arial" w:cs="Arial"/>
          <w:lang w:val="en-US" w:eastAsia="zh-CN"/>
        </w:rPr>
        <w:t xml:space="preserve">UE can be aware of the </w:t>
      </w:r>
      <w:r w:rsidR="005319AD">
        <w:rPr>
          <w:rFonts w:ascii="Arial" w:eastAsia="宋体" w:hAnsi="Arial" w:cs="Arial"/>
          <w:lang w:val="en-US" w:eastAsia="zh-CN"/>
        </w:rPr>
        <w:t xml:space="preserve">serving </w:t>
      </w:r>
      <w:r w:rsidRPr="00A8423A">
        <w:rPr>
          <w:rFonts w:ascii="Arial" w:eastAsia="宋体" w:hAnsi="Arial" w:cs="Arial"/>
          <w:lang w:val="en-US" w:eastAsia="zh-CN"/>
        </w:rPr>
        <w:t>satellite position</w:t>
      </w:r>
      <w:r w:rsidR="00A95F19">
        <w:rPr>
          <w:rFonts w:ascii="Arial" w:eastAsia="宋体" w:hAnsi="Arial" w:cs="Arial"/>
          <w:lang w:val="en-US" w:eastAsia="zh-CN"/>
        </w:rPr>
        <w:t xml:space="preserve">, </w:t>
      </w:r>
      <w:r w:rsidRPr="00A8423A">
        <w:rPr>
          <w:rFonts w:ascii="Arial" w:eastAsia="宋体" w:hAnsi="Arial" w:cs="Arial"/>
          <w:lang w:val="en-US" w:eastAsia="zh-CN"/>
        </w:rPr>
        <w:t>moving direction and moving speed from assistance information broadcast in SIB31. However, to calculate the time of losing coverage of current cell, the footprint information which describes the coverage of the current cell</w:t>
      </w:r>
      <w:r w:rsidR="00012712">
        <w:rPr>
          <w:rFonts w:ascii="Arial" w:eastAsia="宋体" w:hAnsi="Arial" w:cs="Arial"/>
          <w:lang w:val="en-US" w:eastAsia="zh-CN"/>
        </w:rPr>
        <w:t>,</w:t>
      </w:r>
      <w:r w:rsidRPr="00A8423A">
        <w:rPr>
          <w:rFonts w:ascii="Arial" w:eastAsia="宋体" w:hAnsi="Arial" w:cs="Arial"/>
          <w:lang w:val="en-US" w:eastAsia="zh-CN"/>
        </w:rPr>
        <w:t xml:space="preserve"> is require</w:t>
      </w:r>
      <w:r w:rsidR="004036A4" w:rsidRPr="00A8423A">
        <w:rPr>
          <w:rFonts w:ascii="Arial" w:eastAsia="宋体" w:hAnsi="Arial" w:cs="Arial"/>
          <w:lang w:val="en-US" w:eastAsia="zh-CN"/>
        </w:rPr>
        <w:t>d</w:t>
      </w:r>
      <w:r w:rsidRPr="00A8423A">
        <w:rPr>
          <w:rFonts w:ascii="Arial" w:eastAsia="宋体" w:hAnsi="Arial" w:cs="Arial"/>
          <w:lang w:val="en-US" w:eastAsia="zh-CN"/>
        </w:rPr>
        <w:t>.</w:t>
      </w:r>
    </w:p>
    <w:p w14:paraId="3B7CC905" w14:textId="481E224F" w:rsidR="004036A4" w:rsidRPr="00A8423A" w:rsidRDefault="004036A4" w:rsidP="00355D0B">
      <w:pPr>
        <w:rPr>
          <w:rFonts w:ascii="Arial" w:eastAsia="宋体" w:hAnsi="Arial" w:cs="Arial"/>
          <w:b/>
          <w:bCs/>
          <w:lang w:val="en-US" w:eastAsia="zh-CN"/>
        </w:rPr>
      </w:pPr>
      <w:r w:rsidRPr="00A8423A">
        <w:rPr>
          <w:rFonts w:ascii="Arial" w:eastAsia="宋体" w:hAnsi="Arial" w:cs="Arial"/>
          <w:b/>
          <w:bCs/>
          <w:lang w:val="en-US" w:eastAsia="zh-CN"/>
        </w:rPr>
        <w:t xml:space="preserve">Proposal </w:t>
      </w:r>
      <w:r w:rsidR="00A95F19">
        <w:rPr>
          <w:rFonts w:ascii="Arial" w:eastAsia="宋体" w:hAnsi="Arial" w:cs="Arial"/>
          <w:b/>
          <w:bCs/>
          <w:lang w:val="en-US" w:eastAsia="zh-CN"/>
        </w:rPr>
        <w:t>2</w:t>
      </w:r>
      <w:r w:rsidRPr="00A8423A">
        <w:rPr>
          <w:rFonts w:ascii="Arial" w:eastAsia="宋体" w:hAnsi="Arial" w:cs="Arial"/>
          <w:b/>
          <w:bCs/>
          <w:lang w:val="en-US" w:eastAsia="zh-CN"/>
        </w:rPr>
        <w:t>: For earth</w:t>
      </w:r>
      <w:r w:rsidR="00C8663E">
        <w:rPr>
          <w:rFonts w:ascii="Arial" w:eastAsia="宋体" w:hAnsi="Arial" w:cs="Arial"/>
          <w:b/>
          <w:bCs/>
          <w:lang w:val="en-US" w:eastAsia="zh-CN"/>
        </w:rPr>
        <w:t>-</w:t>
      </w:r>
      <w:r w:rsidRPr="00A8423A">
        <w:rPr>
          <w:rFonts w:ascii="Arial" w:eastAsia="宋体" w:hAnsi="Arial" w:cs="Arial"/>
          <w:b/>
          <w:bCs/>
          <w:lang w:val="en-US" w:eastAsia="zh-CN"/>
        </w:rPr>
        <w:t xml:space="preserve">moving cell, the serving cell footprint information is broadcast </w:t>
      </w:r>
      <w:r w:rsidR="0020100A">
        <w:rPr>
          <w:rFonts w:ascii="Arial" w:eastAsia="宋体" w:hAnsi="Arial" w:cs="Arial"/>
          <w:b/>
          <w:bCs/>
          <w:lang w:val="en-US" w:eastAsia="zh-CN"/>
        </w:rPr>
        <w:t xml:space="preserve">in SIB31 </w:t>
      </w:r>
      <w:r w:rsidRPr="00A8423A">
        <w:rPr>
          <w:rFonts w:ascii="Arial" w:eastAsia="宋体" w:hAnsi="Arial" w:cs="Arial"/>
          <w:b/>
          <w:bCs/>
          <w:lang w:val="en-US" w:eastAsia="zh-CN"/>
        </w:rPr>
        <w:t xml:space="preserve">for </w:t>
      </w:r>
      <w:r w:rsidR="00A95F19">
        <w:rPr>
          <w:rFonts w:ascii="Arial" w:eastAsia="宋体" w:hAnsi="Arial" w:cs="Arial"/>
          <w:b/>
          <w:bCs/>
          <w:lang w:val="en-US" w:eastAsia="zh-CN"/>
        </w:rPr>
        <w:t>deriv</w:t>
      </w:r>
      <w:r w:rsidR="00957B2B">
        <w:rPr>
          <w:rFonts w:ascii="Arial" w:eastAsia="宋体" w:hAnsi="Arial" w:cs="Arial"/>
          <w:b/>
          <w:bCs/>
          <w:lang w:val="en-US" w:eastAsia="zh-CN"/>
        </w:rPr>
        <w:t>ing</w:t>
      </w:r>
      <w:r w:rsidRPr="00A8423A">
        <w:rPr>
          <w:rFonts w:ascii="Arial" w:eastAsia="宋体" w:hAnsi="Arial" w:cs="Arial"/>
          <w:b/>
          <w:bCs/>
          <w:lang w:val="en-US" w:eastAsia="zh-CN"/>
        </w:rPr>
        <w:t xml:space="preserve"> the time of </w:t>
      </w:r>
      <w:r w:rsidR="00012712">
        <w:rPr>
          <w:rFonts w:ascii="Arial" w:eastAsia="宋体" w:hAnsi="Arial" w:cs="Arial"/>
          <w:b/>
          <w:bCs/>
          <w:lang w:val="en-US" w:eastAsia="zh-CN"/>
        </w:rPr>
        <w:t>loss of</w:t>
      </w:r>
      <w:r w:rsidRPr="00A8423A">
        <w:rPr>
          <w:rFonts w:ascii="Arial" w:eastAsia="宋体" w:hAnsi="Arial" w:cs="Arial"/>
          <w:b/>
          <w:bCs/>
          <w:lang w:val="en-US" w:eastAsia="zh-CN"/>
        </w:rPr>
        <w:t xml:space="preserve"> coverage of current cell.</w:t>
      </w:r>
    </w:p>
    <w:p w14:paraId="70400B57" w14:textId="082A000D" w:rsidR="000B1AB0" w:rsidRPr="000B1AB0" w:rsidRDefault="000B1AB0" w:rsidP="000B1AB0">
      <w:pPr>
        <w:pStyle w:val="Comments"/>
        <w:rPr>
          <w:b/>
          <w:bCs/>
          <w:i w:val="0"/>
          <w:iCs/>
          <w:u w:val="single"/>
          <w:lang w:val="en-US"/>
        </w:rPr>
      </w:pPr>
      <w:r w:rsidRPr="000B1AB0">
        <w:rPr>
          <w:b/>
          <w:bCs/>
          <w:i w:val="0"/>
          <w:iCs/>
          <w:u w:val="single"/>
        </w:rPr>
        <w:t>Time-based measurement triggers based on neighbour cell coverage</w:t>
      </w:r>
      <w:r>
        <w:rPr>
          <w:b/>
          <w:bCs/>
          <w:i w:val="0"/>
          <w:iCs/>
          <w:u w:val="single"/>
        </w:rPr>
        <w:t xml:space="preserve"> – </w:t>
      </w:r>
      <w:r>
        <w:rPr>
          <w:b/>
          <w:bCs/>
          <w:i w:val="0"/>
          <w:iCs/>
          <w:u w:val="single"/>
          <w:lang w:val="en-US"/>
        </w:rPr>
        <w:t>earth moving cell</w:t>
      </w:r>
    </w:p>
    <w:p w14:paraId="5170A6ED" w14:textId="77777777" w:rsidR="007A1C2B" w:rsidRDefault="007A1C2B" w:rsidP="00355D0B">
      <w:pPr>
        <w:rPr>
          <w:rFonts w:ascii="Arial" w:hAnsi="Arial" w:cs="Arial"/>
          <w:lang w:val="en-US" w:eastAsia="ko-KR"/>
        </w:rPr>
      </w:pPr>
    </w:p>
    <w:p w14:paraId="4800D6FF" w14:textId="6FAC2CF0" w:rsidR="00452001" w:rsidRPr="00A8423A" w:rsidRDefault="00452001" w:rsidP="00355D0B">
      <w:pPr>
        <w:rPr>
          <w:rFonts w:ascii="Arial" w:hAnsi="Arial" w:cs="Arial"/>
          <w:lang w:val="en-US" w:eastAsia="ko-KR"/>
        </w:rPr>
      </w:pPr>
      <w:r w:rsidRPr="00A8423A">
        <w:rPr>
          <w:rFonts w:ascii="Arial" w:hAnsi="Arial" w:cs="Arial"/>
          <w:lang w:val="en-US" w:eastAsia="ko-KR"/>
        </w:rPr>
        <w:t>Besides UE starts measurements before the time of losing coverage</w:t>
      </w:r>
      <w:r w:rsidR="00273FE6">
        <w:rPr>
          <w:rFonts w:ascii="Arial" w:hAnsi="Arial" w:cs="Arial"/>
          <w:lang w:val="en-US" w:eastAsia="ko-KR"/>
        </w:rPr>
        <w:t xml:space="preserve"> of current cell</w:t>
      </w:r>
      <w:r w:rsidRPr="00A8423A">
        <w:rPr>
          <w:rFonts w:ascii="Arial" w:hAnsi="Arial" w:cs="Arial"/>
          <w:lang w:val="en-US" w:eastAsia="ko-KR"/>
        </w:rPr>
        <w:t xml:space="preserve">, </w:t>
      </w:r>
      <w:r w:rsidR="005319AD">
        <w:rPr>
          <w:rFonts w:ascii="Arial" w:hAnsi="Arial" w:cs="Arial"/>
          <w:lang w:val="en-US" w:eastAsia="ko-KR"/>
        </w:rPr>
        <w:t xml:space="preserve"> </w:t>
      </w:r>
      <w:r w:rsidRPr="00A8423A">
        <w:rPr>
          <w:rFonts w:ascii="Arial" w:hAnsi="Arial" w:cs="Arial"/>
          <w:lang w:val="en-US" w:eastAsia="ko-KR"/>
        </w:rPr>
        <w:t>UE can also start measurements when entering the neighbor satellite’s coverage.</w:t>
      </w:r>
    </w:p>
    <w:p w14:paraId="166569AF" w14:textId="128305C0" w:rsidR="00355D0B" w:rsidRDefault="00452001" w:rsidP="00355D0B">
      <w:pPr>
        <w:rPr>
          <w:rFonts w:ascii="Arial" w:hAnsi="Arial" w:cs="Arial"/>
          <w:lang w:val="en-US" w:eastAsia="ko-KR"/>
        </w:rPr>
      </w:pPr>
      <w:r w:rsidRPr="00A8423A">
        <w:rPr>
          <w:rFonts w:ascii="Arial" w:hAnsi="Arial" w:cs="Arial"/>
          <w:lang w:val="en-US" w:eastAsia="ko-KR"/>
        </w:rPr>
        <w:t xml:space="preserve">Based on the assistance information for discontinuous coverage in SIB32 (e.g., ephemeris, footprint), UE can roughly know the time when UE </w:t>
      </w:r>
      <w:r w:rsidR="00012712">
        <w:rPr>
          <w:rFonts w:ascii="Arial" w:hAnsi="Arial" w:cs="Arial"/>
          <w:lang w:val="en-US" w:eastAsia="ko-KR"/>
        </w:rPr>
        <w:t>enters</w:t>
      </w:r>
      <w:r w:rsidRPr="00A8423A">
        <w:rPr>
          <w:rFonts w:ascii="Arial" w:hAnsi="Arial" w:cs="Arial"/>
          <w:lang w:val="en-US" w:eastAsia="ko-KR"/>
        </w:rPr>
        <w:t xml:space="preserve"> the neighbor satellite’s coverage. </w:t>
      </w:r>
      <w:r w:rsidR="005319AD">
        <w:rPr>
          <w:rFonts w:ascii="Arial" w:hAnsi="Arial" w:cs="Arial"/>
          <w:lang w:val="en-US" w:eastAsia="ko-KR"/>
        </w:rPr>
        <w:t xml:space="preserve">So when a UE has both serving cell coverage and neighbor cell coverage, </w:t>
      </w:r>
      <w:r w:rsidRPr="00A8423A">
        <w:rPr>
          <w:rFonts w:ascii="Arial" w:hAnsi="Arial" w:cs="Arial"/>
          <w:lang w:val="en-US" w:eastAsia="ko-KR"/>
        </w:rPr>
        <w:t>UE can start intra/inter frequency measurements in RRC connected mode</w:t>
      </w:r>
      <w:r w:rsidR="005319AD">
        <w:rPr>
          <w:rFonts w:ascii="Arial" w:hAnsi="Arial" w:cs="Arial"/>
          <w:lang w:val="en-US" w:eastAsia="ko-KR"/>
        </w:rPr>
        <w:t>. Normally the serving cell coverage will not last long, UE can utilize the measurement result to accelerate the RRC re-establishment.</w:t>
      </w:r>
    </w:p>
    <w:p w14:paraId="6C16D739" w14:textId="5A7FEB98" w:rsidR="00452001" w:rsidRPr="00A8423A" w:rsidRDefault="00452001" w:rsidP="00355D0B">
      <w:pPr>
        <w:rPr>
          <w:rFonts w:ascii="Arial" w:hAnsi="Arial" w:cs="Arial"/>
          <w:b/>
          <w:bCs/>
          <w:lang w:val="en-US" w:eastAsia="ko-KR"/>
        </w:rPr>
      </w:pPr>
      <w:r w:rsidRPr="00A8423A">
        <w:rPr>
          <w:rFonts w:ascii="Arial" w:hAnsi="Arial" w:cs="Arial"/>
          <w:b/>
          <w:bCs/>
          <w:lang w:val="en-US" w:eastAsia="ko-KR"/>
        </w:rPr>
        <w:t xml:space="preserve">Proposal </w:t>
      </w:r>
      <w:r w:rsidR="00273FE6">
        <w:rPr>
          <w:rFonts w:ascii="Arial" w:hAnsi="Arial" w:cs="Arial"/>
          <w:b/>
          <w:bCs/>
          <w:lang w:val="en-US" w:eastAsia="ko-KR"/>
        </w:rPr>
        <w:t>3</w:t>
      </w:r>
      <w:r w:rsidRPr="00A8423A">
        <w:rPr>
          <w:rFonts w:ascii="Arial" w:hAnsi="Arial" w:cs="Arial"/>
          <w:b/>
          <w:bCs/>
          <w:lang w:val="en-US" w:eastAsia="ko-KR"/>
        </w:rPr>
        <w:t>: UE calculate</w:t>
      </w:r>
      <w:r w:rsidR="00012712">
        <w:rPr>
          <w:rFonts w:ascii="Arial" w:hAnsi="Arial" w:cs="Arial"/>
          <w:b/>
          <w:bCs/>
          <w:lang w:val="en-US" w:eastAsia="ko-KR"/>
        </w:rPr>
        <w:t>s</w:t>
      </w:r>
      <w:r w:rsidRPr="00A8423A">
        <w:rPr>
          <w:rFonts w:ascii="Arial" w:hAnsi="Arial" w:cs="Arial"/>
          <w:b/>
          <w:bCs/>
          <w:lang w:val="en-US" w:eastAsia="ko-KR"/>
        </w:rPr>
        <w:t xml:space="preserve"> the time of UE entering the neighbor satellite’s coverage.</w:t>
      </w:r>
    </w:p>
    <w:p w14:paraId="0227AAA1" w14:textId="2264E3FB" w:rsidR="00452001" w:rsidRPr="00A8423A" w:rsidRDefault="00452001" w:rsidP="00355D0B">
      <w:pPr>
        <w:rPr>
          <w:rFonts w:ascii="Arial" w:hAnsi="Arial" w:cs="Arial"/>
          <w:b/>
          <w:bCs/>
          <w:lang w:val="en-US" w:eastAsia="ko-KR"/>
        </w:rPr>
      </w:pPr>
      <w:r w:rsidRPr="00A8423A">
        <w:rPr>
          <w:rFonts w:ascii="Arial" w:hAnsi="Arial" w:cs="Arial"/>
          <w:b/>
          <w:bCs/>
          <w:lang w:val="en-US" w:eastAsia="ko-KR"/>
        </w:rPr>
        <w:t xml:space="preserve">Proposal </w:t>
      </w:r>
      <w:r w:rsidR="00273FE6">
        <w:rPr>
          <w:rFonts w:ascii="Arial" w:hAnsi="Arial" w:cs="Arial"/>
          <w:b/>
          <w:bCs/>
          <w:lang w:val="en-US" w:eastAsia="ko-KR"/>
        </w:rPr>
        <w:t>4</w:t>
      </w:r>
      <w:r w:rsidRPr="00A8423A">
        <w:rPr>
          <w:rFonts w:ascii="Arial" w:hAnsi="Arial" w:cs="Arial"/>
          <w:b/>
          <w:bCs/>
          <w:lang w:val="en-US" w:eastAsia="ko-KR"/>
        </w:rPr>
        <w:t xml:space="preserve">: UE </w:t>
      </w:r>
      <w:r w:rsidR="00AE1EAB">
        <w:rPr>
          <w:rFonts w:ascii="Arial" w:hAnsi="Arial" w:cs="Arial"/>
          <w:b/>
          <w:bCs/>
          <w:lang w:val="en-US" w:eastAsia="ko-KR"/>
        </w:rPr>
        <w:t xml:space="preserve">may </w:t>
      </w:r>
      <w:r w:rsidRPr="00A8423A">
        <w:rPr>
          <w:rFonts w:ascii="Arial" w:hAnsi="Arial" w:cs="Arial"/>
          <w:b/>
          <w:bCs/>
          <w:lang w:val="en-US" w:eastAsia="ko-KR"/>
        </w:rPr>
        <w:t>start</w:t>
      </w:r>
      <w:r w:rsidR="00AE1EAB">
        <w:rPr>
          <w:rFonts w:ascii="Arial" w:hAnsi="Arial" w:cs="Arial"/>
          <w:b/>
          <w:bCs/>
          <w:lang w:val="en-US" w:eastAsia="ko-KR"/>
        </w:rPr>
        <w:t xml:space="preserve"> </w:t>
      </w:r>
      <w:r w:rsidRPr="00A8423A">
        <w:rPr>
          <w:rFonts w:ascii="Arial" w:hAnsi="Arial" w:cs="Arial"/>
          <w:b/>
          <w:bCs/>
          <w:lang w:val="en-US" w:eastAsia="ko-KR"/>
        </w:rPr>
        <w:t>intra/inter frequency measurements in RRC connected mode after the calculated time of entering the neighbor satellite’s coverage</w:t>
      </w:r>
      <w:r w:rsidR="00C359CD">
        <w:rPr>
          <w:rFonts w:ascii="Arial" w:hAnsi="Arial" w:cs="Arial"/>
          <w:b/>
          <w:bCs/>
          <w:lang w:val="en-US" w:eastAsia="ko-KR"/>
        </w:rPr>
        <w:t>.</w:t>
      </w:r>
    </w:p>
    <w:p w14:paraId="7E0CCCD6" w14:textId="77777777" w:rsidR="002E6F37" w:rsidRPr="00A8423A" w:rsidRDefault="002E6F37" w:rsidP="00E2227D">
      <w:pPr>
        <w:jc w:val="both"/>
        <w:rPr>
          <w:rFonts w:ascii="Arial" w:hAnsi="Arial" w:cs="Arial"/>
          <w:bCs/>
          <w:sz w:val="6"/>
        </w:rPr>
      </w:pPr>
    </w:p>
    <w:p w14:paraId="1D89A14B" w14:textId="257C5E45" w:rsidR="006C2278" w:rsidRDefault="00910E31" w:rsidP="007B611E">
      <w:pPr>
        <w:pStyle w:val="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435AEFE3" w14:textId="77777777" w:rsidR="00273FE6" w:rsidRPr="00273FE6" w:rsidRDefault="00273FE6" w:rsidP="00273FE6">
      <w:pPr>
        <w:rPr>
          <w:rFonts w:ascii="Arial" w:hAnsi="Arial" w:cs="Arial"/>
          <w:b/>
          <w:bCs/>
          <w:lang w:val="en-US" w:eastAsia="ko-KR"/>
        </w:rPr>
      </w:pPr>
      <w:r w:rsidRPr="00273FE6">
        <w:rPr>
          <w:rFonts w:ascii="Arial" w:hAnsi="Arial" w:cs="Arial" w:hint="eastAsia"/>
          <w:b/>
          <w:bCs/>
          <w:lang w:val="en-US" w:eastAsia="ko-KR"/>
        </w:rPr>
        <w:t>P</w:t>
      </w:r>
      <w:r w:rsidRPr="00273FE6">
        <w:rPr>
          <w:rFonts w:ascii="Arial" w:hAnsi="Arial" w:cs="Arial"/>
          <w:b/>
          <w:bCs/>
          <w:lang w:val="en-US" w:eastAsia="ko-KR"/>
        </w:rPr>
        <w:t>roposal 1: RAN2 does not specify distance-based measurement trigger for earth-moving cell and earth-fixed cell.</w:t>
      </w:r>
    </w:p>
    <w:p w14:paraId="54AA5AB7" w14:textId="77777777" w:rsidR="00273FE6" w:rsidRPr="00273FE6" w:rsidRDefault="00273FE6" w:rsidP="00273FE6">
      <w:pPr>
        <w:rPr>
          <w:rFonts w:ascii="Arial" w:hAnsi="Arial" w:cs="Arial"/>
          <w:b/>
          <w:bCs/>
          <w:lang w:val="en-US" w:eastAsia="ko-KR"/>
        </w:rPr>
      </w:pPr>
      <w:r w:rsidRPr="00273FE6">
        <w:rPr>
          <w:rFonts w:ascii="Arial" w:hAnsi="Arial" w:cs="Arial"/>
          <w:b/>
          <w:bCs/>
          <w:lang w:val="en-US" w:eastAsia="ko-KR"/>
        </w:rPr>
        <w:t>Proposal 2: For earth-moving cell, the serving cell footprint information is broadcast in SIB31 for deriving the time of loss of coverage of current cell.</w:t>
      </w:r>
    </w:p>
    <w:p w14:paraId="5F5EA2E3" w14:textId="77777777" w:rsidR="00273FE6" w:rsidRPr="00A8423A" w:rsidRDefault="00273FE6" w:rsidP="00273FE6">
      <w:pPr>
        <w:rPr>
          <w:rFonts w:ascii="Arial" w:hAnsi="Arial" w:cs="Arial"/>
          <w:b/>
          <w:bCs/>
          <w:lang w:val="en-US" w:eastAsia="ko-KR"/>
        </w:rPr>
      </w:pPr>
      <w:r w:rsidRPr="00A8423A">
        <w:rPr>
          <w:rFonts w:ascii="Arial" w:hAnsi="Arial" w:cs="Arial"/>
          <w:b/>
          <w:bCs/>
          <w:lang w:val="en-US" w:eastAsia="ko-KR"/>
        </w:rPr>
        <w:t xml:space="preserve">Proposal </w:t>
      </w:r>
      <w:r>
        <w:rPr>
          <w:rFonts w:ascii="Arial" w:hAnsi="Arial" w:cs="Arial"/>
          <w:b/>
          <w:bCs/>
          <w:lang w:val="en-US" w:eastAsia="ko-KR"/>
        </w:rPr>
        <w:t>3</w:t>
      </w:r>
      <w:r w:rsidRPr="00A8423A">
        <w:rPr>
          <w:rFonts w:ascii="Arial" w:hAnsi="Arial" w:cs="Arial"/>
          <w:b/>
          <w:bCs/>
          <w:lang w:val="en-US" w:eastAsia="ko-KR"/>
        </w:rPr>
        <w:t>: UE calculate</w:t>
      </w:r>
      <w:r>
        <w:rPr>
          <w:rFonts w:ascii="Arial" w:hAnsi="Arial" w:cs="Arial"/>
          <w:b/>
          <w:bCs/>
          <w:lang w:val="en-US" w:eastAsia="ko-KR"/>
        </w:rPr>
        <w:t>s</w:t>
      </w:r>
      <w:r w:rsidRPr="00A8423A">
        <w:rPr>
          <w:rFonts w:ascii="Arial" w:hAnsi="Arial" w:cs="Arial"/>
          <w:b/>
          <w:bCs/>
          <w:lang w:val="en-US" w:eastAsia="ko-KR"/>
        </w:rPr>
        <w:t xml:space="preserve"> the time of UE entering the neighbor satellite’s coverage.</w:t>
      </w:r>
    </w:p>
    <w:p w14:paraId="2F3946B9" w14:textId="5118F6AF" w:rsidR="00273FE6" w:rsidRPr="00273FE6" w:rsidRDefault="00273FE6" w:rsidP="00273FE6">
      <w:pPr>
        <w:rPr>
          <w:lang w:val="en-US" w:eastAsia="ko-KR"/>
        </w:rPr>
      </w:pPr>
      <w:r w:rsidRPr="00A8423A">
        <w:rPr>
          <w:rFonts w:ascii="Arial" w:hAnsi="Arial" w:cs="Arial"/>
          <w:b/>
          <w:bCs/>
          <w:lang w:val="en-US" w:eastAsia="ko-KR"/>
        </w:rPr>
        <w:t xml:space="preserve">Proposal </w:t>
      </w:r>
      <w:r>
        <w:rPr>
          <w:rFonts w:ascii="Arial" w:hAnsi="Arial" w:cs="Arial"/>
          <w:b/>
          <w:bCs/>
          <w:lang w:val="en-US" w:eastAsia="ko-KR"/>
        </w:rPr>
        <w:t>4</w:t>
      </w:r>
      <w:r w:rsidRPr="00A8423A">
        <w:rPr>
          <w:rFonts w:ascii="Arial" w:hAnsi="Arial" w:cs="Arial"/>
          <w:b/>
          <w:bCs/>
          <w:lang w:val="en-US" w:eastAsia="ko-KR"/>
        </w:rPr>
        <w:t xml:space="preserve">: UE </w:t>
      </w:r>
      <w:r>
        <w:rPr>
          <w:rFonts w:ascii="Arial" w:hAnsi="Arial" w:cs="Arial"/>
          <w:b/>
          <w:bCs/>
          <w:lang w:val="en-US" w:eastAsia="ko-KR"/>
        </w:rPr>
        <w:t xml:space="preserve">may </w:t>
      </w:r>
      <w:r w:rsidRPr="00A8423A">
        <w:rPr>
          <w:rFonts w:ascii="Arial" w:hAnsi="Arial" w:cs="Arial"/>
          <w:b/>
          <w:bCs/>
          <w:lang w:val="en-US" w:eastAsia="ko-KR"/>
        </w:rPr>
        <w:t>start</w:t>
      </w:r>
      <w:r>
        <w:rPr>
          <w:rFonts w:ascii="Arial" w:hAnsi="Arial" w:cs="Arial"/>
          <w:b/>
          <w:bCs/>
          <w:lang w:val="en-US" w:eastAsia="ko-KR"/>
        </w:rPr>
        <w:t xml:space="preserve"> </w:t>
      </w:r>
      <w:r w:rsidRPr="00A8423A">
        <w:rPr>
          <w:rFonts w:ascii="Arial" w:hAnsi="Arial" w:cs="Arial"/>
          <w:b/>
          <w:bCs/>
          <w:lang w:val="en-US" w:eastAsia="ko-KR"/>
        </w:rPr>
        <w:t>intra/inter frequency measurements in RRC connected mode after the calculated time of entering the neighbor satellite’s coverage</w:t>
      </w:r>
      <w:r w:rsidR="00C359CD">
        <w:rPr>
          <w:rFonts w:ascii="Arial" w:hAnsi="Arial" w:cs="Arial"/>
          <w:b/>
          <w:bCs/>
          <w:lang w:val="en-US" w:eastAsia="ko-KR"/>
        </w:rPr>
        <w:t>.</w:t>
      </w:r>
    </w:p>
    <w:p w14:paraId="54159F23" w14:textId="14611DD1" w:rsidR="00EF622C" w:rsidRDefault="00910E31" w:rsidP="00F54927">
      <w:pPr>
        <w:pStyle w:val="1"/>
        <w:pBdr>
          <w:top w:val="single" w:sz="12" w:space="0" w:color="auto"/>
        </w:pBdr>
        <w:rPr>
          <w:lang w:val="en-US" w:eastAsia="ko-KR"/>
        </w:rPr>
      </w:pPr>
      <w:r>
        <w:rPr>
          <w:lang w:eastAsia="ko-KR"/>
        </w:rPr>
        <w:t>4</w:t>
      </w:r>
      <w:r w:rsidR="00EF622C">
        <w:rPr>
          <w:lang w:val="en-US" w:eastAsia="ko-KR"/>
        </w:rPr>
        <w:t xml:space="preserve"> References</w:t>
      </w:r>
    </w:p>
    <w:p w14:paraId="4D393DDF" w14:textId="6867B4A5" w:rsidR="003D3512" w:rsidRPr="00C359CD" w:rsidRDefault="00002DF5" w:rsidP="00C359CD">
      <w:pPr>
        <w:pStyle w:val="af3"/>
        <w:numPr>
          <w:ilvl w:val="0"/>
          <w:numId w:val="2"/>
        </w:numPr>
        <w:spacing w:after="180"/>
        <w:rPr>
          <w:rFonts w:ascii="Arial" w:hAnsi="Arial" w:cs="Arial"/>
          <w:sz w:val="20"/>
          <w:szCs w:val="20"/>
          <w:lang w:val="en-US"/>
        </w:rPr>
      </w:pPr>
      <w:bookmarkStart w:id="2" w:name="_Ref109647240"/>
      <w:bookmarkStart w:id="3" w:name="_Ref7643634"/>
      <w:bookmarkStart w:id="4" w:name="_Ref7104523"/>
      <w:bookmarkStart w:id="5" w:name="_Ref4159051"/>
      <w:bookmarkStart w:id="6" w:name="_Ref7643592"/>
      <w:r w:rsidRPr="00D857B5">
        <w:rPr>
          <w:rFonts w:ascii="Arial" w:hAnsi="Arial" w:cs="Arial"/>
          <w:sz w:val="20"/>
          <w:szCs w:val="20"/>
          <w:lang w:val="en-US"/>
        </w:rPr>
        <w:t>RP-22</w:t>
      </w:r>
      <w:r>
        <w:rPr>
          <w:rFonts w:ascii="Arial" w:hAnsi="Arial" w:cs="Arial"/>
          <w:sz w:val="20"/>
          <w:szCs w:val="20"/>
          <w:lang w:val="en-US"/>
        </w:rPr>
        <w:t>1554</w:t>
      </w:r>
      <w:r w:rsidRPr="00F125CD">
        <w:rPr>
          <w:rFonts w:ascii="Arial" w:hAnsi="Arial" w:cs="Arial"/>
          <w:sz w:val="20"/>
          <w:szCs w:val="20"/>
          <w:lang w:val="en-US"/>
        </w:rPr>
        <w:t xml:space="preserve">, </w:t>
      </w:r>
      <w:r>
        <w:rPr>
          <w:rFonts w:ascii="Arial" w:hAnsi="Arial" w:cs="Arial"/>
          <w:sz w:val="20"/>
          <w:szCs w:val="20"/>
          <w:lang w:val="en-US"/>
        </w:rPr>
        <w:t>MediaTek</w:t>
      </w:r>
      <w:r w:rsidRPr="00F125CD">
        <w:rPr>
          <w:rFonts w:ascii="Arial" w:hAnsi="Arial" w:cs="Arial"/>
          <w:sz w:val="20"/>
          <w:szCs w:val="20"/>
          <w:lang w:val="en-US"/>
        </w:rPr>
        <w:t>,</w:t>
      </w:r>
      <w:r>
        <w:rPr>
          <w:rFonts w:ascii="Arial" w:hAnsi="Arial" w:cs="Arial"/>
          <w:sz w:val="20"/>
          <w:szCs w:val="20"/>
          <w:lang w:val="en-US"/>
        </w:rPr>
        <w:t xml:space="preserve"> WID on IoT NTN Enhancements</w:t>
      </w:r>
      <w:r w:rsidRPr="00F125CD">
        <w:rPr>
          <w:rFonts w:ascii="Arial" w:hAnsi="Arial" w:cs="Arial"/>
          <w:sz w:val="20"/>
          <w:szCs w:val="20"/>
          <w:lang w:val="en-US"/>
        </w:rPr>
        <w:t>, RAN#</w:t>
      </w:r>
      <w:r>
        <w:rPr>
          <w:rFonts w:ascii="Arial" w:hAnsi="Arial" w:cs="Arial"/>
          <w:sz w:val="20"/>
          <w:szCs w:val="20"/>
          <w:lang w:val="en-US"/>
        </w:rPr>
        <w:t>96e</w:t>
      </w:r>
      <w:r w:rsidRPr="00F125CD">
        <w:rPr>
          <w:rFonts w:ascii="Arial" w:hAnsi="Arial" w:cs="Arial"/>
          <w:sz w:val="20"/>
          <w:szCs w:val="20"/>
          <w:lang w:val="en-US"/>
        </w:rPr>
        <w:t xml:space="preserve">, June </w:t>
      </w:r>
      <w:r>
        <w:rPr>
          <w:rFonts w:ascii="Arial" w:hAnsi="Arial" w:cs="Arial"/>
          <w:sz w:val="20"/>
          <w:szCs w:val="20"/>
          <w:lang w:val="en-US"/>
        </w:rPr>
        <w:t>2022</w:t>
      </w:r>
      <w:r w:rsidRPr="00F125CD">
        <w:rPr>
          <w:rFonts w:ascii="Arial" w:hAnsi="Arial" w:cs="Arial"/>
          <w:sz w:val="20"/>
          <w:szCs w:val="20"/>
          <w:lang w:val="en-US"/>
        </w:rPr>
        <w:t>.</w:t>
      </w:r>
      <w:bookmarkEnd w:id="2"/>
      <w:bookmarkEnd w:id="3"/>
      <w:bookmarkEnd w:id="4"/>
      <w:bookmarkEnd w:id="5"/>
      <w:bookmarkEnd w:id="6"/>
    </w:p>
    <w:p w14:paraId="2F1BC7F4" w14:textId="77777777" w:rsidR="00CF3106" w:rsidRPr="00CF3106" w:rsidRDefault="00CF3106" w:rsidP="00CF3106">
      <w:pPr>
        <w:rPr>
          <w:lang w:val="en-US" w:eastAsia="ko-KR"/>
        </w:rPr>
      </w:pPr>
    </w:p>
    <w:sectPr w:rsidR="00CF3106" w:rsidRPr="00CF3106"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2E89A" w14:textId="77777777" w:rsidR="001615C4" w:rsidRDefault="001615C4">
      <w:r>
        <w:separator/>
      </w:r>
    </w:p>
  </w:endnote>
  <w:endnote w:type="continuationSeparator" w:id="0">
    <w:p w14:paraId="5DB3B33E" w14:textId="77777777" w:rsidR="001615C4" w:rsidRDefault="00161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9A97D" w14:textId="77777777" w:rsidR="001615C4" w:rsidRDefault="001615C4">
      <w:r>
        <w:separator/>
      </w:r>
    </w:p>
  </w:footnote>
  <w:footnote w:type="continuationSeparator" w:id="0">
    <w:p w14:paraId="26754A80" w14:textId="77777777" w:rsidR="001615C4" w:rsidRDefault="001615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F6D40B0"/>
    <w:multiLevelType w:val="hybridMultilevel"/>
    <w:tmpl w:val="E102C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E1ED2"/>
    <w:multiLevelType w:val="hybridMultilevel"/>
    <w:tmpl w:val="BC801504"/>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7967108"/>
    <w:multiLevelType w:val="hybridMultilevel"/>
    <w:tmpl w:val="09988744"/>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18" w15:restartNumberingAfterBreak="0">
    <w:nsid w:val="58086632"/>
    <w:multiLevelType w:val="hybridMultilevel"/>
    <w:tmpl w:val="5860B424"/>
    <w:lvl w:ilvl="0" w:tplc="8BF49FC8">
      <w:start w:val="1"/>
      <w:numFmt w:val="decimal"/>
      <w:lvlText w:val="%1."/>
      <w:lvlJc w:val="left"/>
      <w:pPr>
        <w:ind w:left="1496" w:hanging="360"/>
      </w:pPr>
    </w:lvl>
    <w:lvl w:ilvl="1" w:tplc="04090019">
      <w:start w:val="1"/>
      <w:numFmt w:val="lowerLetter"/>
      <w:lvlText w:val="%2."/>
      <w:lvlJc w:val="left"/>
      <w:pPr>
        <w:ind w:left="2216" w:hanging="360"/>
      </w:pPr>
    </w:lvl>
    <w:lvl w:ilvl="2" w:tplc="0409001B">
      <w:start w:val="1"/>
      <w:numFmt w:val="lowerRoman"/>
      <w:lvlText w:val="%3."/>
      <w:lvlJc w:val="right"/>
      <w:pPr>
        <w:ind w:left="2936" w:hanging="180"/>
      </w:pPr>
    </w:lvl>
    <w:lvl w:ilvl="3" w:tplc="0409000F">
      <w:start w:val="1"/>
      <w:numFmt w:val="decimal"/>
      <w:lvlText w:val="%4."/>
      <w:lvlJc w:val="left"/>
      <w:pPr>
        <w:ind w:left="3656" w:hanging="360"/>
      </w:pPr>
    </w:lvl>
    <w:lvl w:ilvl="4" w:tplc="04090019">
      <w:start w:val="1"/>
      <w:numFmt w:val="lowerLetter"/>
      <w:lvlText w:val="%5."/>
      <w:lvlJc w:val="left"/>
      <w:pPr>
        <w:ind w:left="4376" w:hanging="360"/>
      </w:pPr>
    </w:lvl>
    <w:lvl w:ilvl="5" w:tplc="0409001B">
      <w:start w:val="1"/>
      <w:numFmt w:val="lowerRoman"/>
      <w:lvlText w:val="%6."/>
      <w:lvlJc w:val="right"/>
      <w:pPr>
        <w:ind w:left="5096" w:hanging="180"/>
      </w:pPr>
    </w:lvl>
    <w:lvl w:ilvl="6" w:tplc="0409000F">
      <w:start w:val="1"/>
      <w:numFmt w:val="decimal"/>
      <w:lvlText w:val="%7."/>
      <w:lvlJc w:val="left"/>
      <w:pPr>
        <w:ind w:left="5816" w:hanging="360"/>
      </w:pPr>
    </w:lvl>
    <w:lvl w:ilvl="7" w:tplc="04090019">
      <w:start w:val="1"/>
      <w:numFmt w:val="lowerLetter"/>
      <w:lvlText w:val="%8."/>
      <w:lvlJc w:val="left"/>
      <w:pPr>
        <w:ind w:left="6536" w:hanging="360"/>
      </w:pPr>
    </w:lvl>
    <w:lvl w:ilvl="8" w:tplc="0409001B">
      <w:start w:val="1"/>
      <w:numFmt w:val="lowerRoman"/>
      <w:lvlText w:val="%9."/>
      <w:lvlJc w:val="right"/>
      <w:pPr>
        <w:ind w:left="7256" w:hanging="180"/>
      </w:pPr>
    </w:lvl>
  </w:abstractNum>
  <w:abstractNum w:abstractNumId="19" w15:restartNumberingAfterBreak="0">
    <w:nsid w:val="5D085408"/>
    <w:multiLevelType w:val="hybridMultilevel"/>
    <w:tmpl w:val="D1064E5E"/>
    <w:lvl w:ilvl="0" w:tplc="1AB62DC2">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A24F83"/>
    <w:multiLevelType w:val="hybridMultilevel"/>
    <w:tmpl w:val="81B69A4E"/>
    <w:lvl w:ilvl="0" w:tplc="42D43BD4">
      <w:numFmt w:val="bullet"/>
      <w:suff w:val="space"/>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2090AA3"/>
    <w:multiLevelType w:val="hybridMultilevel"/>
    <w:tmpl w:val="91C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0"/>
  </w:num>
  <w:num w:numId="3">
    <w:abstractNumId w:val="13"/>
  </w:num>
  <w:num w:numId="4">
    <w:abstractNumId w:val="15"/>
  </w:num>
  <w:num w:numId="5">
    <w:abstractNumId w:val="2"/>
  </w:num>
  <w:num w:numId="6">
    <w:abstractNumId w:val="1"/>
  </w:num>
  <w:num w:numId="7">
    <w:abstractNumId w:val="11"/>
  </w:num>
  <w:num w:numId="8">
    <w:abstractNumId w:val="23"/>
  </w:num>
  <w:num w:numId="9">
    <w:abstractNumId w:val="5"/>
  </w:num>
  <w:num w:numId="10">
    <w:abstractNumId w:val="26"/>
  </w:num>
  <w:num w:numId="11">
    <w:abstractNumId w:val="27"/>
  </w:num>
  <w:num w:numId="12">
    <w:abstractNumId w:val="10"/>
  </w:num>
  <w:num w:numId="13">
    <w:abstractNumId w:val="22"/>
  </w:num>
  <w:num w:numId="14">
    <w:abstractNumId w:val="16"/>
  </w:num>
  <w:num w:numId="15">
    <w:abstractNumId w:val="6"/>
  </w:num>
  <w:num w:numId="16">
    <w:abstractNumId w:val="12"/>
  </w:num>
  <w:num w:numId="17">
    <w:abstractNumId w:val="14"/>
  </w:num>
  <w:num w:numId="18">
    <w:abstractNumId w:val="20"/>
  </w:num>
  <w:num w:numId="19">
    <w:abstractNumId w:val="28"/>
  </w:num>
  <w:num w:numId="20">
    <w:abstractNumId w:val="21"/>
  </w:num>
  <w:num w:numId="21">
    <w:abstractNumId w:val="24"/>
  </w:num>
  <w:num w:numId="22">
    <w:abstractNumId w:val="4"/>
  </w:num>
  <w:num w:numId="23">
    <w:abstractNumId w:val="25"/>
  </w:num>
  <w:num w:numId="24">
    <w:abstractNumId w:val="8"/>
  </w:num>
  <w:num w:numId="25">
    <w:abstractNumId w:val="9"/>
  </w:num>
  <w:num w:numId="26">
    <w:abstractNumId w:val="3"/>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505D"/>
    <w:rsid w:val="00005C91"/>
    <w:rsid w:val="00007E67"/>
    <w:rsid w:val="00007FCB"/>
    <w:rsid w:val="0001209C"/>
    <w:rsid w:val="0001240B"/>
    <w:rsid w:val="00012712"/>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ABA"/>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0853"/>
    <w:rsid w:val="000616F5"/>
    <w:rsid w:val="000617F2"/>
    <w:rsid w:val="0006197D"/>
    <w:rsid w:val="00062934"/>
    <w:rsid w:val="000637FC"/>
    <w:rsid w:val="00064FFD"/>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B67"/>
    <w:rsid w:val="00082D1A"/>
    <w:rsid w:val="00084768"/>
    <w:rsid w:val="00084830"/>
    <w:rsid w:val="0008494B"/>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1AB0"/>
    <w:rsid w:val="000B2264"/>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5A81"/>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57C"/>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15C4"/>
    <w:rsid w:val="00163241"/>
    <w:rsid w:val="00167588"/>
    <w:rsid w:val="00167FC4"/>
    <w:rsid w:val="00172F10"/>
    <w:rsid w:val="00173394"/>
    <w:rsid w:val="00173FA7"/>
    <w:rsid w:val="00176899"/>
    <w:rsid w:val="00176C99"/>
    <w:rsid w:val="00176D07"/>
    <w:rsid w:val="00180E1D"/>
    <w:rsid w:val="00182D11"/>
    <w:rsid w:val="00183903"/>
    <w:rsid w:val="00184D44"/>
    <w:rsid w:val="00184F44"/>
    <w:rsid w:val="00186027"/>
    <w:rsid w:val="001861C3"/>
    <w:rsid w:val="001912AE"/>
    <w:rsid w:val="00191FD3"/>
    <w:rsid w:val="00192732"/>
    <w:rsid w:val="00194B39"/>
    <w:rsid w:val="00196648"/>
    <w:rsid w:val="00197A50"/>
    <w:rsid w:val="001A030D"/>
    <w:rsid w:val="001A062E"/>
    <w:rsid w:val="001A09AB"/>
    <w:rsid w:val="001A114C"/>
    <w:rsid w:val="001A14EA"/>
    <w:rsid w:val="001A1FBB"/>
    <w:rsid w:val="001A25B0"/>
    <w:rsid w:val="001A3992"/>
    <w:rsid w:val="001A3C10"/>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39BD"/>
    <w:rsid w:val="001B5FB6"/>
    <w:rsid w:val="001B6C8C"/>
    <w:rsid w:val="001B6EC3"/>
    <w:rsid w:val="001B7764"/>
    <w:rsid w:val="001C09B3"/>
    <w:rsid w:val="001C227D"/>
    <w:rsid w:val="001C4139"/>
    <w:rsid w:val="001C4279"/>
    <w:rsid w:val="001C56C4"/>
    <w:rsid w:val="001D0407"/>
    <w:rsid w:val="001D0C04"/>
    <w:rsid w:val="001D14B9"/>
    <w:rsid w:val="001D18C0"/>
    <w:rsid w:val="001D1C03"/>
    <w:rsid w:val="001D74C5"/>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00A"/>
    <w:rsid w:val="0020191F"/>
    <w:rsid w:val="002030CF"/>
    <w:rsid w:val="00203ECF"/>
    <w:rsid w:val="00204404"/>
    <w:rsid w:val="00204ACF"/>
    <w:rsid w:val="00206576"/>
    <w:rsid w:val="00207FDC"/>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853"/>
    <w:rsid w:val="002259B0"/>
    <w:rsid w:val="00225D58"/>
    <w:rsid w:val="00225E9A"/>
    <w:rsid w:val="002260C7"/>
    <w:rsid w:val="00226961"/>
    <w:rsid w:val="00226F69"/>
    <w:rsid w:val="002271E0"/>
    <w:rsid w:val="00227429"/>
    <w:rsid w:val="002308E7"/>
    <w:rsid w:val="00234605"/>
    <w:rsid w:val="00234912"/>
    <w:rsid w:val="00234EA5"/>
    <w:rsid w:val="00235CC1"/>
    <w:rsid w:val="00236117"/>
    <w:rsid w:val="00236310"/>
    <w:rsid w:val="002402B1"/>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3FE6"/>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2F33F5"/>
    <w:rsid w:val="00303AA0"/>
    <w:rsid w:val="00304023"/>
    <w:rsid w:val="00307FD9"/>
    <w:rsid w:val="003118A6"/>
    <w:rsid w:val="003134E9"/>
    <w:rsid w:val="00313F90"/>
    <w:rsid w:val="00316B20"/>
    <w:rsid w:val="003176AE"/>
    <w:rsid w:val="003226BA"/>
    <w:rsid w:val="003228DD"/>
    <w:rsid w:val="003241A2"/>
    <w:rsid w:val="00324EB9"/>
    <w:rsid w:val="0032527B"/>
    <w:rsid w:val="00326D62"/>
    <w:rsid w:val="0032716A"/>
    <w:rsid w:val="003313BF"/>
    <w:rsid w:val="003316B9"/>
    <w:rsid w:val="00331B7C"/>
    <w:rsid w:val="0033379C"/>
    <w:rsid w:val="00334329"/>
    <w:rsid w:val="00334D18"/>
    <w:rsid w:val="00334E11"/>
    <w:rsid w:val="00335150"/>
    <w:rsid w:val="0033524A"/>
    <w:rsid w:val="0033559B"/>
    <w:rsid w:val="00335874"/>
    <w:rsid w:val="003358FA"/>
    <w:rsid w:val="00340160"/>
    <w:rsid w:val="00340530"/>
    <w:rsid w:val="0034093A"/>
    <w:rsid w:val="003414D8"/>
    <w:rsid w:val="00343389"/>
    <w:rsid w:val="00343ECA"/>
    <w:rsid w:val="0034475B"/>
    <w:rsid w:val="003452F0"/>
    <w:rsid w:val="003470D0"/>
    <w:rsid w:val="0034739C"/>
    <w:rsid w:val="00351105"/>
    <w:rsid w:val="003516ED"/>
    <w:rsid w:val="003545DC"/>
    <w:rsid w:val="00355BEA"/>
    <w:rsid w:val="00355D0B"/>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C7984"/>
    <w:rsid w:val="003D07D5"/>
    <w:rsid w:val="003D33CB"/>
    <w:rsid w:val="003D3512"/>
    <w:rsid w:val="003D4543"/>
    <w:rsid w:val="003D4B34"/>
    <w:rsid w:val="003D5A11"/>
    <w:rsid w:val="003D6453"/>
    <w:rsid w:val="003D66AF"/>
    <w:rsid w:val="003D6F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36A4"/>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3D89"/>
    <w:rsid w:val="00424C72"/>
    <w:rsid w:val="00424EC4"/>
    <w:rsid w:val="00425303"/>
    <w:rsid w:val="00425EC2"/>
    <w:rsid w:val="0042609B"/>
    <w:rsid w:val="004262F6"/>
    <w:rsid w:val="00426C33"/>
    <w:rsid w:val="0043364B"/>
    <w:rsid w:val="004344C0"/>
    <w:rsid w:val="00434B9D"/>
    <w:rsid w:val="0043576A"/>
    <w:rsid w:val="004406BC"/>
    <w:rsid w:val="004423FA"/>
    <w:rsid w:val="004435E2"/>
    <w:rsid w:val="00444E7E"/>
    <w:rsid w:val="00445FE2"/>
    <w:rsid w:val="00446A61"/>
    <w:rsid w:val="00446BC2"/>
    <w:rsid w:val="00447317"/>
    <w:rsid w:val="0045113F"/>
    <w:rsid w:val="00452001"/>
    <w:rsid w:val="00452B50"/>
    <w:rsid w:val="00452FA4"/>
    <w:rsid w:val="0045306C"/>
    <w:rsid w:val="0045451E"/>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5B2"/>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177"/>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880"/>
    <w:rsid w:val="00530958"/>
    <w:rsid w:val="005319AD"/>
    <w:rsid w:val="00533164"/>
    <w:rsid w:val="00534359"/>
    <w:rsid w:val="00534864"/>
    <w:rsid w:val="005365D7"/>
    <w:rsid w:val="00537CEF"/>
    <w:rsid w:val="00537FCB"/>
    <w:rsid w:val="0054099C"/>
    <w:rsid w:val="00540F93"/>
    <w:rsid w:val="00542904"/>
    <w:rsid w:val="00543D4E"/>
    <w:rsid w:val="0054501D"/>
    <w:rsid w:val="0054779C"/>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57E40"/>
    <w:rsid w:val="00560743"/>
    <w:rsid w:val="005629F7"/>
    <w:rsid w:val="00562CAE"/>
    <w:rsid w:val="005654FC"/>
    <w:rsid w:val="005658C7"/>
    <w:rsid w:val="00565F5F"/>
    <w:rsid w:val="00565F8C"/>
    <w:rsid w:val="0056645F"/>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BBB"/>
    <w:rsid w:val="00587DC1"/>
    <w:rsid w:val="00590308"/>
    <w:rsid w:val="00590516"/>
    <w:rsid w:val="00590EC7"/>
    <w:rsid w:val="00591027"/>
    <w:rsid w:val="005917D3"/>
    <w:rsid w:val="00592961"/>
    <w:rsid w:val="00592E09"/>
    <w:rsid w:val="005932EB"/>
    <w:rsid w:val="00595051"/>
    <w:rsid w:val="005950A4"/>
    <w:rsid w:val="0059660C"/>
    <w:rsid w:val="0059688F"/>
    <w:rsid w:val="00596FC1"/>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BD4"/>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5BDD"/>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2EB1"/>
    <w:rsid w:val="006435BF"/>
    <w:rsid w:val="00644560"/>
    <w:rsid w:val="00644959"/>
    <w:rsid w:val="0064513E"/>
    <w:rsid w:val="006463B2"/>
    <w:rsid w:val="00647DE4"/>
    <w:rsid w:val="00650EFB"/>
    <w:rsid w:val="006522B8"/>
    <w:rsid w:val="00653807"/>
    <w:rsid w:val="006546EA"/>
    <w:rsid w:val="00655D95"/>
    <w:rsid w:val="00656CA2"/>
    <w:rsid w:val="0065777C"/>
    <w:rsid w:val="00657A1C"/>
    <w:rsid w:val="00661721"/>
    <w:rsid w:val="00661EE2"/>
    <w:rsid w:val="00662440"/>
    <w:rsid w:val="00662BD7"/>
    <w:rsid w:val="00662ED6"/>
    <w:rsid w:val="006647D0"/>
    <w:rsid w:val="00664F4E"/>
    <w:rsid w:val="00666DC3"/>
    <w:rsid w:val="00670B47"/>
    <w:rsid w:val="00671B57"/>
    <w:rsid w:val="006753B2"/>
    <w:rsid w:val="006759D4"/>
    <w:rsid w:val="006759FD"/>
    <w:rsid w:val="00675EEA"/>
    <w:rsid w:val="006761C0"/>
    <w:rsid w:val="0067731B"/>
    <w:rsid w:val="00677932"/>
    <w:rsid w:val="00681A2D"/>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2AC9"/>
    <w:rsid w:val="00713901"/>
    <w:rsid w:val="00713A04"/>
    <w:rsid w:val="00713F66"/>
    <w:rsid w:val="00714A76"/>
    <w:rsid w:val="00715388"/>
    <w:rsid w:val="00716CBB"/>
    <w:rsid w:val="00716E97"/>
    <w:rsid w:val="007174A4"/>
    <w:rsid w:val="00717F78"/>
    <w:rsid w:val="0072058C"/>
    <w:rsid w:val="00720A84"/>
    <w:rsid w:val="00720C8A"/>
    <w:rsid w:val="00721B24"/>
    <w:rsid w:val="00722477"/>
    <w:rsid w:val="00722D00"/>
    <w:rsid w:val="00722D3E"/>
    <w:rsid w:val="00723B33"/>
    <w:rsid w:val="00723B8B"/>
    <w:rsid w:val="007241F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2F5"/>
    <w:rsid w:val="007409C8"/>
    <w:rsid w:val="00741425"/>
    <w:rsid w:val="00741E86"/>
    <w:rsid w:val="007421B2"/>
    <w:rsid w:val="00742BF6"/>
    <w:rsid w:val="00743674"/>
    <w:rsid w:val="00745942"/>
    <w:rsid w:val="00745BE6"/>
    <w:rsid w:val="007515FC"/>
    <w:rsid w:val="007517F0"/>
    <w:rsid w:val="0075301B"/>
    <w:rsid w:val="00753622"/>
    <w:rsid w:val="0075370C"/>
    <w:rsid w:val="0075461B"/>
    <w:rsid w:val="00754CCC"/>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1C2B"/>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4051"/>
    <w:rsid w:val="0083488F"/>
    <w:rsid w:val="00835E45"/>
    <w:rsid w:val="00835F90"/>
    <w:rsid w:val="00836255"/>
    <w:rsid w:val="00840378"/>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59D0"/>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0DD"/>
    <w:rsid w:val="008A5A2F"/>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4BF4"/>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5"/>
    <w:rsid w:val="00946650"/>
    <w:rsid w:val="00946F6D"/>
    <w:rsid w:val="00946FF3"/>
    <w:rsid w:val="009552BD"/>
    <w:rsid w:val="00955380"/>
    <w:rsid w:val="0095602D"/>
    <w:rsid w:val="0095621F"/>
    <w:rsid w:val="0095665F"/>
    <w:rsid w:val="00957B2B"/>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117"/>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B7F61"/>
    <w:rsid w:val="009C0630"/>
    <w:rsid w:val="009C0FAF"/>
    <w:rsid w:val="009C11B6"/>
    <w:rsid w:val="009C129F"/>
    <w:rsid w:val="009C3D94"/>
    <w:rsid w:val="009C3E13"/>
    <w:rsid w:val="009C415C"/>
    <w:rsid w:val="009C59D4"/>
    <w:rsid w:val="009C73A0"/>
    <w:rsid w:val="009C753E"/>
    <w:rsid w:val="009C76B5"/>
    <w:rsid w:val="009D0959"/>
    <w:rsid w:val="009D1580"/>
    <w:rsid w:val="009D3A23"/>
    <w:rsid w:val="009D3E26"/>
    <w:rsid w:val="009D4B94"/>
    <w:rsid w:val="009D5235"/>
    <w:rsid w:val="009D5252"/>
    <w:rsid w:val="009D5824"/>
    <w:rsid w:val="009D5E97"/>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254A"/>
    <w:rsid w:val="00A02DAF"/>
    <w:rsid w:val="00A04298"/>
    <w:rsid w:val="00A0504A"/>
    <w:rsid w:val="00A051DE"/>
    <w:rsid w:val="00A05A51"/>
    <w:rsid w:val="00A07159"/>
    <w:rsid w:val="00A10F52"/>
    <w:rsid w:val="00A1117B"/>
    <w:rsid w:val="00A11488"/>
    <w:rsid w:val="00A115D5"/>
    <w:rsid w:val="00A1334B"/>
    <w:rsid w:val="00A13777"/>
    <w:rsid w:val="00A14611"/>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50DF"/>
    <w:rsid w:val="00A45F00"/>
    <w:rsid w:val="00A47E70"/>
    <w:rsid w:val="00A505FA"/>
    <w:rsid w:val="00A51A91"/>
    <w:rsid w:val="00A52551"/>
    <w:rsid w:val="00A53EF7"/>
    <w:rsid w:val="00A540C6"/>
    <w:rsid w:val="00A54BED"/>
    <w:rsid w:val="00A54D9B"/>
    <w:rsid w:val="00A5517A"/>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423A"/>
    <w:rsid w:val="00A84A2A"/>
    <w:rsid w:val="00A86CBE"/>
    <w:rsid w:val="00A877CF"/>
    <w:rsid w:val="00A90726"/>
    <w:rsid w:val="00A9073E"/>
    <w:rsid w:val="00A9163B"/>
    <w:rsid w:val="00A936CB"/>
    <w:rsid w:val="00A93A24"/>
    <w:rsid w:val="00A94292"/>
    <w:rsid w:val="00A95F19"/>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0999"/>
    <w:rsid w:val="00AC1906"/>
    <w:rsid w:val="00AC21E3"/>
    <w:rsid w:val="00AC3007"/>
    <w:rsid w:val="00AC3513"/>
    <w:rsid w:val="00AC3927"/>
    <w:rsid w:val="00AC3B57"/>
    <w:rsid w:val="00AC3F5B"/>
    <w:rsid w:val="00AC5F48"/>
    <w:rsid w:val="00AC6C46"/>
    <w:rsid w:val="00AC7EFD"/>
    <w:rsid w:val="00AD0208"/>
    <w:rsid w:val="00AD2E7A"/>
    <w:rsid w:val="00AD30A8"/>
    <w:rsid w:val="00AD33BA"/>
    <w:rsid w:val="00AD6A49"/>
    <w:rsid w:val="00AD7896"/>
    <w:rsid w:val="00AE0ABA"/>
    <w:rsid w:val="00AE0C06"/>
    <w:rsid w:val="00AE19FA"/>
    <w:rsid w:val="00AE1EAB"/>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30C"/>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A766F"/>
    <w:rsid w:val="00BB1A1E"/>
    <w:rsid w:val="00BB20CB"/>
    <w:rsid w:val="00BB2958"/>
    <w:rsid w:val="00BB2FC2"/>
    <w:rsid w:val="00BB317F"/>
    <w:rsid w:val="00BB3288"/>
    <w:rsid w:val="00BB4EA9"/>
    <w:rsid w:val="00BB5070"/>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200E"/>
    <w:rsid w:val="00BD279D"/>
    <w:rsid w:val="00BD2C7B"/>
    <w:rsid w:val="00BD48CB"/>
    <w:rsid w:val="00BD5C11"/>
    <w:rsid w:val="00BD6AFA"/>
    <w:rsid w:val="00BD7403"/>
    <w:rsid w:val="00BD7520"/>
    <w:rsid w:val="00BD7BB4"/>
    <w:rsid w:val="00BE0D15"/>
    <w:rsid w:val="00BE1692"/>
    <w:rsid w:val="00BE1B5D"/>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C5A"/>
    <w:rsid w:val="00C13FA5"/>
    <w:rsid w:val="00C14566"/>
    <w:rsid w:val="00C14AEC"/>
    <w:rsid w:val="00C151BB"/>
    <w:rsid w:val="00C15CFB"/>
    <w:rsid w:val="00C16E18"/>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A5E"/>
    <w:rsid w:val="00C3438B"/>
    <w:rsid w:val="00C359CD"/>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47C06"/>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1C94"/>
    <w:rsid w:val="00C820FE"/>
    <w:rsid w:val="00C82F81"/>
    <w:rsid w:val="00C85274"/>
    <w:rsid w:val="00C85F05"/>
    <w:rsid w:val="00C8663E"/>
    <w:rsid w:val="00C867CF"/>
    <w:rsid w:val="00C86B9A"/>
    <w:rsid w:val="00C8796E"/>
    <w:rsid w:val="00C87E49"/>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1BC2"/>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4D17"/>
    <w:rsid w:val="00D2593B"/>
    <w:rsid w:val="00D25DEF"/>
    <w:rsid w:val="00D2652A"/>
    <w:rsid w:val="00D26A64"/>
    <w:rsid w:val="00D27486"/>
    <w:rsid w:val="00D30410"/>
    <w:rsid w:val="00D3092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64EC"/>
    <w:rsid w:val="00D470D5"/>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19B1"/>
    <w:rsid w:val="00D834F9"/>
    <w:rsid w:val="00D845F3"/>
    <w:rsid w:val="00D87131"/>
    <w:rsid w:val="00D8737F"/>
    <w:rsid w:val="00D875C5"/>
    <w:rsid w:val="00D90440"/>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28"/>
    <w:rsid w:val="00DB27FC"/>
    <w:rsid w:val="00DB4104"/>
    <w:rsid w:val="00DB4ACD"/>
    <w:rsid w:val="00DB57F8"/>
    <w:rsid w:val="00DB65CC"/>
    <w:rsid w:val="00DB6E72"/>
    <w:rsid w:val="00DB7B76"/>
    <w:rsid w:val="00DC2AD5"/>
    <w:rsid w:val="00DC6780"/>
    <w:rsid w:val="00DD07AA"/>
    <w:rsid w:val="00DD0BC9"/>
    <w:rsid w:val="00DD3007"/>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5D15"/>
    <w:rsid w:val="00DF686E"/>
    <w:rsid w:val="00DF7125"/>
    <w:rsid w:val="00E015DC"/>
    <w:rsid w:val="00E017C8"/>
    <w:rsid w:val="00E025D7"/>
    <w:rsid w:val="00E032E7"/>
    <w:rsid w:val="00E035DD"/>
    <w:rsid w:val="00E0454C"/>
    <w:rsid w:val="00E047B2"/>
    <w:rsid w:val="00E060F5"/>
    <w:rsid w:val="00E06808"/>
    <w:rsid w:val="00E07AF5"/>
    <w:rsid w:val="00E1053F"/>
    <w:rsid w:val="00E1058D"/>
    <w:rsid w:val="00E1127D"/>
    <w:rsid w:val="00E116B2"/>
    <w:rsid w:val="00E121CF"/>
    <w:rsid w:val="00E1239C"/>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365AB"/>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31C7"/>
    <w:rsid w:val="00E54D8A"/>
    <w:rsid w:val="00E55B23"/>
    <w:rsid w:val="00E56131"/>
    <w:rsid w:val="00E567A7"/>
    <w:rsid w:val="00E56F6F"/>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171"/>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A2F"/>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041"/>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4F0"/>
    <w:rsid w:val="00FD38A3"/>
    <w:rsid w:val="00FD5002"/>
    <w:rsid w:val="00FD51B9"/>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3FE6"/>
    <w:pPr>
      <w:spacing w:after="180"/>
    </w:pPr>
    <w:rPr>
      <w:rFonts w:ascii="Times New Roman" w:hAnsi="Times New Roman"/>
      <w:lang w:val="en-GB" w:eastAsia="en-US"/>
    </w:rPr>
  </w:style>
  <w:style w:type="paragraph" w:styleId="1">
    <w:name w:val="heading 1"/>
    <w:next w:val="a"/>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6DD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FA6D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FA6DD2"/>
    <w:pPr>
      <w:ind w:left="1418" w:hanging="1418"/>
      <w:outlineLvl w:val="3"/>
    </w:pPr>
    <w:rPr>
      <w:sz w:val="24"/>
    </w:rPr>
  </w:style>
  <w:style w:type="paragraph" w:styleId="5">
    <w:name w:val="heading 5"/>
    <w:basedOn w:val="4"/>
    <w:next w:val="a"/>
    <w:qFormat/>
    <w:rsid w:val="00FA6DD2"/>
    <w:pPr>
      <w:ind w:left="1701" w:hanging="1701"/>
      <w:outlineLvl w:val="4"/>
    </w:pPr>
    <w:rPr>
      <w:sz w:val="22"/>
    </w:rPr>
  </w:style>
  <w:style w:type="paragraph" w:styleId="6">
    <w:name w:val="heading 6"/>
    <w:basedOn w:val="H6"/>
    <w:next w:val="a"/>
    <w:qFormat/>
    <w:rsid w:val="00FA6DD2"/>
    <w:pPr>
      <w:outlineLvl w:val="5"/>
    </w:pPr>
  </w:style>
  <w:style w:type="paragraph" w:styleId="7">
    <w:name w:val="heading 7"/>
    <w:basedOn w:val="H6"/>
    <w:next w:val="a"/>
    <w:qFormat/>
    <w:rsid w:val="00FA6DD2"/>
    <w:pPr>
      <w:outlineLvl w:val="6"/>
    </w:pPr>
  </w:style>
  <w:style w:type="paragraph" w:styleId="8">
    <w:name w:val="heading 8"/>
    <w:basedOn w:val="1"/>
    <w:next w:val="a"/>
    <w:qFormat/>
    <w:rsid w:val="00FA6DD2"/>
    <w:pPr>
      <w:ind w:left="0" w:firstLine="0"/>
      <w:outlineLvl w:val="7"/>
    </w:pPr>
  </w:style>
  <w:style w:type="paragraph" w:styleId="9">
    <w:name w:val="heading 9"/>
    <w:basedOn w:val="8"/>
    <w:next w:val="a"/>
    <w:qFormat/>
    <w:rsid w:val="00FA6D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20">
    <w:name w:val="index 2"/>
    <w:basedOn w:val="10"/>
    <w:semiHidden/>
    <w:rsid w:val="00FA6DD2"/>
    <w:pPr>
      <w:ind w:left="284"/>
    </w:pPr>
  </w:style>
  <w:style w:type="paragraph" w:styleId="10">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1">
    <w:name w:val="List Number 2"/>
    <w:basedOn w:val="a3"/>
    <w:rsid w:val="00FA6DD2"/>
    <w:pPr>
      <w:ind w:left="851"/>
    </w:pPr>
  </w:style>
  <w:style w:type="paragraph" w:styleId="a4">
    <w:name w:val="header"/>
    <w:rsid w:val="00FA6DD2"/>
    <w:pPr>
      <w:widowControl w:val="0"/>
    </w:pPr>
    <w:rPr>
      <w:rFonts w:ascii="Arial" w:hAnsi="Arial"/>
      <w:b/>
      <w:noProof/>
      <w:sz w:val="18"/>
      <w:lang w:val="en-GB" w:eastAsia="en-US"/>
    </w:rPr>
  </w:style>
  <w:style w:type="character" w:styleId="a5">
    <w:name w:val="footnote reference"/>
    <w:semiHidden/>
    <w:rsid w:val="00FA6DD2"/>
    <w:rPr>
      <w:b/>
      <w:position w:val="6"/>
      <w:sz w:val="16"/>
    </w:rPr>
  </w:style>
  <w:style w:type="paragraph" w:styleId="a6">
    <w:name w:val="footnote text"/>
    <w:basedOn w:val="a"/>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a"/>
    <w:semiHidden/>
    <w:rsid w:val="00FA6DD2"/>
    <w:pPr>
      <w:ind w:left="1985" w:hanging="1985"/>
    </w:pPr>
  </w:style>
  <w:style w:type="paragraph" w:styleId="TOC7">
    <w:name w:val="toc 7"/>
    <w:basedOn w:val="TOC6"/>
    <w:next w:val="a"/>
    <w:semiHidden/>
    <w:rsid w:val="00FA6DD2"/>
    <w:pPr>
      <w:ind w:left="2268" w:hanging="2268"/>
    </w:pPr>
  </w:style>
  <w:style w:type="paragraph" w:styleId="22">
    <w:name w:val="List Bullet 2"/>
    <w:basedOn w:val="a7"/>
    <w:rsid w:val="00FA6DD2"/>
    <w:pPr>
      <w:ind w:left="851"/>
    </w:pPr>
  </w:style>
  <w:style w:type="paragraph" w:styleId="31">
    <w:name w:val="List Bullet 3"/>
    <w:basedOn w:val="22"/>
    <w:rsid w:val="00FA6DD2"/>
    <w:pPr>
      <w:ind w:left="1135"/>
    </w:pPr>
  </w:style>
  <w:style w:type="paragraph" w:styleId="a3">
    <w:name w:val="List Number"/>
    <w:basedOn w:val="a8"/>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3">
    <w:name w:val="List 2"/>
    <w:basedOn w:val="a8"/>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FA6DD2"/>
    <w:pPr>
      <w:ind w:left="1135"/>
    </w:pPr>
  </w:style>
  <w:style w:type="paragraph" w:styleId="41">
    <w:name w:val="List 4"/>
    <w:basedOn w:val="32"/>
    <w:rsid w:val="00FA6DD2"/>
    <w:pPr>
      <w:ind w:left="1418"/>
    </w:pPr>
  </w:style>
  <w:style w:type="paragraph" w:styleId="50">
    <w:name w:val="List 5"/>
    <w:basedOn w:val="41"/>
    <w:rsid w:val="00FA6DD2"/>
    <w:pPr>
      <w:ind w:left="1702"/>
    </w:pPr>
  </w:style>
  <w:style w:type="paragraph" w:customStyle="1" w:styleId="EditorsNote">
    <w:name w:val="Editor's Note"/>
    <w:aliases w:val="EN"/>
    <w:basedOn w:val="NO"/>
    <w:link w:val="EditorsNoteChar"/>
    <w:rsid w:val="00FA6DD2"/>
    <w:rPr>
      <w:color w:val="FF0000"/>
    </w:rPr>
  </w:style>
  <w:style w:type="paragraph" w:styleId="a8">
    <w:name w:val="List"/>
    <w:basedOn w:val="a"/>
    <w:rsid w:val="00FA6DD2"/>
    <w:pPr>
      <w:ind w:left="568" w:hanging="284"/>
    </w:pPr>
  </w:style>
  <w:style w:type="paragraph" w:styleId="a7">
    <w:name w:val="List Bullet"/>
    <w:basedOn w:val="a8"/>
    <w:rsid w:val="00FA6DD2"/>
  </w:style>
  <w:style w:type="paragraph" w:styleId="42">
    <w:name w:val="List Bullet 4"/>
    <w:basedOn w:val="31"/>
    <w:rsid w:val="00FA6DD2"/>
    <w:pPr>
      <w:ind w:left="1418"/>
    </w:pPr>
  </w:style>
  <w:style w:type="paragraph" w:styleId="51">
    <w:name w:val="List Bullet 5"/>
    <w:basedOn w:val="42"/>
    <w:rsid w:val="00FA6DD2"/>
    <w:pPr>
      <w:ind w:left="1702"/>
    </w:pPr>
  </w:style>
  <w:style w:type="paragraph" w:customStyle="1" w:styleId="B1">
    <w:name w:val="B1"/>
    <w:basedOn w:val="a8"/>
    <w:link w:val="B1Char1"/>
    <w:qFormat/>
    <w:rsid w:val="00FA6DD2"/>
  </w:style>
  <w:style w:type="paragraph" w:customStyle="1" w:styleId="B2">
    <w:name w:val="B2"/>
    <w:basedOn w:val="23"/>
    <w:link w:val="B2Char"/>
    <w:rsid w:val="00FA6DD2"/>
  </w:style>
  <w:style w:type="paragraph" w:customStyle="1" w:styleId="B3">
    <w:name w:val="B3"/>
    <w:basedOn w:val="32"/>
    <w:link w:val="B3Char2"/>
    <w:rsid w:val="00FA6DD2"/>
  </w:style>
  <w:style w:type="paragraph" w:customStyle="1" w:styleId="B4">
    <w:name w:val="B4"/>
    <w:basedOn w:val="41"/>
    <w:link w:val="B4Char"/>
    <w:rsid w:val="00FA6DD2"/>
  </w:style>
  <w:style w:type="paragraph" w:customStyle="1" w:styleId="B5">
    <w:name w:val="B5"/>
    <w:basedOn w:val="50"/>
    <w:link w:val="B5Char"/>
    <w:rsid w:val="00FA6DD2"/>
  </w:style>
  <w:style w:type="paragraph" w:styleId="a9">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a">
    <w:name w:val="Hyperlink"/>
    <w:rsid w:val="00FA6DD2"/>
    <w:rPr>
      <w:color w:val="0000FF"/>
      <w:u w:val="single"/>
    </w:rPr>
  </w:style>
  <w:style w:type="character" w:styleId="ab">
    <w:name w:val="annotation reference"/>
    <w:semiHidden/>
    <w:rsid w:val="00FA6DD2"/>
    <w:rPr>
      <w:sz w:val="16"/>
    </w:rPr>
  </w:style>
  <w:style w:type="paragraph" w:styleId="ac">
    <w:name w:val="annotation text"/>
    <w:basedOn w:val="a"/>
    <w:link w:val="ad"/>
    <w:semiHidden/>
    <w:rsid w:val="00FA6DD2"/>
  </w:style>
  <w:style w:type="character" w:styleId="ae">
    <w:name w:val="FollowedHyperlink"/>
    <w:rsid w:val="00FA6DD2"/>
    <w:rPr>
      <w:color w:val="800080"/>
      <w:u w:val="single"/>
    </w:rPr>
  </w:style>
  <w:style w:type="paragraph" w:styleId="af">
    <w:name w:val="Balloon Text"/>
    <w:basedOn w:val="a"/>
    <w:semiHidden/>
    <w:rsid w:val="00FA6DD2"/>
    <w:rPr>
      <w:rFonts w:ascii="Tahoma" w:hAnsi="Tahoma" w:cs="Tahoma"/>
      <w:sz w:val="16"/>
      <w:szCs w:val="16"/>
    </w:rPr>
  </w:style>
  <w:style w:type="paragraph" w:styleId="af0">
    <w:name w:val="annotation subject"/>
    <w:basedOn w:val="ac"/>
    <w:next w:val="ac"/>
    <w:semiHidden/>
    <w:rsid w:val="00FA6DD2"/>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3">
    <w:name w:val="List Paragraph"/>
    <w:aliases w:val="- Bullets,列出段落,Lista1,?? ??,?????,????,목록 단락,1st level - Bullet List Paragraph,List Paragraph1,Lettre d'introduction,Paragrafo elenco,Normal bullet 2,Bullet list,Numbered List,Task Body,Viñetas (Inicio Parrafo),3 Txt tabla,Lista viñetas"/>
    <w:basedOn w:val="a"/>
    <w:link w:val="af4"/>
    <w:uiPriority w:val="34"/>
    <w:qFormat/>
    <w:rsid w:val="00AA2718"/>
    <w:pPr>
      <w:spacing w:after="0"/>
      <w:ind w:left="720"/>
    </w:pPr>
    <w:rPr>
      <w:rFonts w:ascii="Calibri" w:eastAsia="Calibri" w:hAnsi="Calibri"/>
      <w:sz w:val="22"/>
      <w:szCs w:val="22"/>
    </w:rPr>
  </w:style>
  <w:style w:type="character" w:styleId="af5">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ad">
    <w:name w:val="批注文字 字符"/>
    <w:link w:val="ac"/>
    <w:semiHidden/>
    <w:rsid w:val="00A75132"/>
    <w:rPr>
      <w:rFonts w:ascii="Times New Roman" w:hAnsi="Times New Roman"/>
      <w:lang w:val="en-GB" w:eastAsia="en-US"/>
    </w:rPr>
  </w:style>
  <w:style w:type="paragraph" w:styleId="af6">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a"/>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7">
    <w:name w:val="caption"/>
    <w:basedOn w:val="a"/>
    <w:next w:val="a"/>
    <w:unhideWhenUsed/>
    <w:qFormat/>
    <w:rsid w:val="00CC7C84"/>
    <w:pPr>
      <w:spacing w:after="200"/>
    </w:pPr>
    <w:rPr>
      <w:b/>
      <w:bCs/>
      <w:color w:val="4F81BD" w:themeColor="accent1"/>
      <w:sz w:val="18"/>
      <w:szCs w:val="18"/>
    </w:rPr>
  </w:style>
  <w:style w:type="paragraph" w:customStyle="1" w:styleId="Reference">
    <w:name w:val="Reference"/>
    <w:basedOn w:val="a"/>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a"/>
    <w:next w:val="Doc-text2"/>
    <w:rsid w:val="00340530"/>
    <w:pPr>
      <w:numPr>
        <w:numId w:val="8"/>
      </w:numPr>
      <w:spacing w:before="60" w:after="0"/>
    </w:pPr>
    <w:rPr>
      <w:rFonts w:ascii="Arial" w:eastAsia="MS Mincho" w:hAnsi="Arial"/>
      <w:b/>
      <w:szCs w:val="24"/>
      <w:lang w:eastAsia="en-GB"/>
    </w:rPr>
  </w:style>
  <w:style w:type="character" w:customStyle="1" w:styleId="af4">
    <w:name w:val="列表段落 字符"/>
    <w:aliases w:val="- Bullets 字符,列出段落 字符,Lista1 字符,?? ?? 字符,????? 字符,???? 字符,목록 단락 字符,1st level - Bullet List Paragraph 字符,List Paragraph1 字符,Lettre d'introduction 字符,Paragrafo elenco 字符,Normal bullet 2 字符,Bullet list 字符,Numbered List 字符,Task Body 字符,3 Txt tabla 字符"/>
    <w:link w:val="af3"/>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 w:type="paragraph" w:customStyle="1" w:styleId="Comments">
    <w:name w:val="Comments"/>
    <w:basedOn w:val="a"/>
    <w:link w:val="CommentsChar"/>
    <w:qFormat/>
    <w:rsid w:val="0098311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83117"/>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80416203">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1126</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7535</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2022-09-26T18:44:00Z</dcterms:created>
  <dcterms:modified xsi:type="dcterms:W3CDTF">2023-02-16T12:10:00Z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2023-02-15T09:30:58Z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9de5226d-1a3e-4565-a8b1-4defb114e486</vt:lpwstr>
  </property>
  <property fmtid="{D5CDD505-2E9C-101B-9397-08002B2CF9AE}" pid="9" name="MSIP_Label_83bcef13-7cac-433f-ba1d-47a323951816_ContentBits">
    <vt:lpwstr>0</vt:lpwstr>
  </property>
</Properties>
</file>